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10-Contracts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10-contracts, contract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2025-11-30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Legal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adoption-0e8f23, control-f23ba6, workflow-ba609f, owner-09f830, reviewer-83035e, budget-35ec1d, queue-c1d938, queue-938bd5, partner-bd5ed6, exception-ed6e6e, deadline-e6ee04, finance-e04712, evidence-7123ca, forecast-3caa69, partner-a697e0, owner-7e0b55, regional-b55454, support-454895, executive-895e02, evidence-e02f15, audit-f15f, executive-f, legal-8f23ba, support-3ba609, policy-609f83, variance-f83035, support-035ec1, launch-ec1d93, launch-d938bd, policy-8bd5ed, latency-5ed6e6, adoption-6e6ee0, exception-ee0471, workflow-47123c, scope-23caa6, renewal-aa697e. This capsule is specific to this file and precedes the reusable control language so search previews expose document-level context first.</w:t>
      </w:r>
    </w:p>
    <w:p>
      <w:pPr>
        <w:pStyle w:val="Title"/>
      </w:pPr>
      <w:r>
        <w:t>Summit BioLabs DocuLens AI Master Services Agreement 2025-11-30</w:t>
      </w:r>
    </w:p>
    <w:p>
      <w:pPr>
        <w:pStyle w:val="Heading1"/>
      </w:pPr>
      <w:r>
        <w:t>Summary</w:t>
      </w:r>
    </w:p>
    <w:p>
      <w:r>
        <w:t>The sample supports search validation by repeating core company facts only after presenting a unique customer scenario and category-specific control language. Evidence marker NF-5209; customer=Summit BioLabs; industry=biotech; product=DocuLens AI; companion_product=LaunchOps; office_scope=Seoul HQ, Singapore customer success office, and Austin partnership desk.</w:t>
      </w:r>
    </w:p>
    <w:p>
      <w:r>
        <w:t>Contract type: Master Services Agreement. Scope covers confidentiality, service acceptance, liability boundaries, data processing, partner handoff, and exception routing for DocuLens AI.</w:t>
      </w:r>
    </w:p>
    <w:p>
      <w:pPr>
        <w:pStyle w:val="Heading1"/>
      </w:pPr>
      <w:r>
        <w:t>Terms</w:t>
      </w:r>
    </w:p>
    <w:p>
      <w:r>
        <w:t>Legal owns redlines, Security owns DPA exhibits, CS owns acceptance evidence, and Product confirms that LaunchOps references do not create unsupported commitments.</w:t>
      </w:r>
    </w:p>
    <w:p>
      <w:pPr>
        <w:pStyle w:val="Heading1"/>
      </w:pPr>
      <w:r>
        <w:t>Controls</w:t>
      </w:r>
    </w:p>
    <w:p>
      <w:r>
        <w:t>Exception process requires rationale, compensating control, owner, expiration date, and account record update. Mission reference: teams should spend less time chasing documents and more time making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