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citation-b2b81e, clause-81e5be, margin-5bef5b, citation-f5b7c0, source-7c038c, deadline-38c717, citation-717a7d, owner-a7ded5, customer-ed593a, security-93a291, control-291850, customer-850c36, deadline-c3634e, legal-34e598, partner-5980b6, owner-0b65ec, security-5ece15, account-e15a40, legal-a408b4, evidence-8b41ea, engineering-1eaa, support-a, account-b81e5b, milestone-e5bef5, variance-ef5b7c, variance-b7c038, support-038c71, milestone-c717a7, support-7a7ded, renewal-ded593, template-593a29, clause-a29185, audit-1850c3, launch-0c3634, renewal-634e59, policy-e5980b. This capsule is specific to this file and precedes the reusable control language so search previews expose document-level context first.</w:t>
      </w:r>
    </w:p>
    <w:p>
      <w:pPr>
        <w:pStyle w:val="Title"/>
      </w:pPr>
      <w:r>
        <w:t>OneLedger Bank FlowDesk NDA 2025-11-30</w:t>
      </w:r>
    </w:p>
    <w:p>
      <w:pPr>
        <w:pStyle w:val="Heading1"/>
      </w:pPr>
      <w:r>
        <w:t>Summary</w:t>
      </w:r>
    </w:p>
    <w:p>
      <w:r>
        <w:t>The commercial team needed a document that could survive handoff to Legal, Finance, and Engineering without losing the original customer use case. Evidence marker NF-9959; customer=OneLedger Bank; industry=banking; product=FlowDesk; companion_product=InsightBridge; office_scope=Seoul HQ, Singapore customer success office, and Austin partnership desk.</w:t>
      </w:r>
    </w:p>
    <w:p>
      <w:r>
        <w:t>Contract type: NDA. Scope covers confidentiality, service acceptance, liability boundaries, data processing, partner handoff, and exception routing for FlowDesk.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InsightBridge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