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2026-04-30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margin-db8755, readiness-755136, workflow-13683e, workflow-83ed8e, exception-d8ef7d, workflow-f7d543, latency-5434f5, workflow-4f55df, partner-5dffa5, queue-fa5100, margin-100b23, legal-b23d66, legal-d669dc, regional-9dc3fe, enablement-3fe08f, executive-08f481, product-481c70, executive-c70acd, product-acd190, product-190179, product-1795, legal-5, adoption-875513, enablement-513683, account-683ed8, variance-ed8ef7, launch-ef7d54, source-d5434f, variance-34f55d, scope-55dffa, support-ffa510, support-5100b2, template-0b23d6, latency-3d669d, milestone-69dc3f, variance-c3fe08. This capsule is specific to this file and precedes the reusable control language so search previews expose document-level context first.</w:t>
      </w:r>
    </w:p>
    <w:p>
      <w:pPr>
        <w:pStyle w:val="Title"/>
      </w:pPr>
      <w:r>
        <w:t>BlueHarbor Logistics DocuLens AI Master Services Agreement 2026-04-30</w:t>
      </w:r>
    </w:p>
    <w:p>
      <w:pPr>
        <w:pStyle w:val="Heading1"/>
      </w:pPr>
      <w:r>
        <w:t>Summary</w:t>
      </w:r>
    </w:p>
    <w:p>
      <w:r>
        <w:t>This sample begins with a regional rollout constraint: Singapore support capacity, Austin partner timing, and Seoul legal review had to be reconciled in one evidence trail. Evidence marker NF-4677; customer=BlueHarbor Logistics; industry=regional logistics; product=DocuLens AI; companion_product=LaunchOps; office_scope=Seoul HQ, Singapore customer success office, and Austin partnership desk.</w:t>
      </w:r>
    </w:p>
    <w:p>
      <w:r>
        <w:t>Contract type: Master Services Agreement. Scope covers confidentiality, service acceptance, liability boundaries, data processing, partner handoff, and exception routing for DocuLens AI.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LaunchOps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