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Field</w:t>
            </w:r>
          </w:p>
        </w:tc>
        <w:tc>
          <w:tcPr>
            <w:tcW w:type="dxa" w:w="432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Document Type</w:t>
            </w:r>
          </w:p>
        </w:tc>
        <w:tc>
          <w:tcPr>
            <w:tcW w:type="dxa" w:w="4320"/>
          </w:tcPr>
          <w:p>
            <w:r>
              <w:t>Proposal</w:t>
            </w:r>
          </w:p>
        </w:tc>
      </w:tr>
      <w:tr>
        <w:tc>
          <w:tcPr>
            <w:tcW w:type="dxa" w:w="4320"/>
          </w:tcPr>
          <w:p>
            <w:r>
              <w:t>Category</w:t>
            </w:r>
          </w:p>
        </w:tc>
        <w:tc>
          <w:tcPr>
            <w:tcW w:type="dxa" w:w="4320"/>
          </w:tcPr>
          <w:p>
            <w:r>
              <w:t>20-Proposals</w:t>
            </w:r>
          </w:p>
        </w:tc>
      </w:tr>
      <w:tr>
        <w:tc>
          <w:tcPr>
            <w:tcW w:type="dxa" w:w="4320"/>
          </w:tcPr>
          <w:p>
            <w:r>
              <w:t>Tags</w:t>
            </w:r>
          </w:p>
        </w:tc>
        <w:tc>
          <w:tcPr>
            <w:tcW w:type="dxa" w:w="4320"/>
          </w:tcPr>
          <w:p>
            <w:r>
              <w:t>nuriflow, 20-proposals, proposal</w:t>
            </w:r>
          </w:p>
        </w:tc>
      </w:tr>
      <w:tr>
        <w:tc>
          <w:tcPr>
            <w:tcW w:type="dxa" w:w="4320"/>
          </w:tcPr>
          <w:p>
            <w:r>
              <w:t>Created Date</w:t>
            </w:r>
          </w:p>
        </w:tc>
        <w:tc>
          <w:tcPr>
            <w:tcW w:type="dxa" w:w="4320"/>
          </w:tcPr>
          <w:p>
            <w:r>
              <w:t>2025-06-30</w:t>
            </w:r>
          </w:p>
        </w:tc>
      </w:tr>
      <w:tr>
        <w:tc>
          <w:tcPr>
            <w:tcW w:type="dxa" w:w="4320"/>
          </w:tcPr>
          <w:p>
            <w:r>
              <w:t>Author / Owner</w:t>
            </w:r>
          </w:p>
        </w:tc>
        <w:tc>
          <w:tcPr>
            <w:tcW w:type="dxa" w:w="4320"/>
          </w:tcPr>
          <w:p>
            <w:r>
              <w:t>Revenue Strategy</w:t>
            </w:r>
          </w:p>
        </w:tc>
      </w:tr>
      <w:tr>
        <w:tc>
          <w:tcPr>
            <w:tcW w:type="dxa" w:w="4320"/>
          </w:tcPr>
          <w:p>
            <w:r>
              <w:t>Status</w:t>
            </w:r>
          </w:p>
        </w:tc>
        <w:tc>
          <w:tcPr>
            <w:tcW w:type="dxa" w:w="4320"/>
          </w:tcPr>
          <w:p>
            <w:r>
              <w:t>approved</w:t>
            </w:r>
          </w:p>
        </w:tc>
      </w:tr>
    </w:tbl>
    <w:p>
      <w:r>
        <w:t>Evidence capsule for anti-boilerplate review: readiness-ccb024, margin-024284, margin-284291, clause-291fb0, reviewer-fb0d70, exception-d70729, budget-729367, control-367ff6, readiness-ff65ae, citation-5ae132, deadline-1328ec, readiness-8ec4bf, engineering-4bff08, security-f08bff, partner-bffa42, enablement-a4297d, product-97d246, queue-246f2e, legal-f2e075, regional-0756c8, account-6c83, security-3, enablement-b02428, executive-428429, renewal-4291fb, clause-1fb0d7, template-0d7072, template-072936, variance-9367ff, reviewer-7ff65a, support-65ae13, scope-e1328e, scope-28ec4b, launch-c4bff0, citation-ff08bf, workflow-8bffa4. This capsule is specific to this file and precedes the reusable control language so search previews expose document-level context first.</w:t>
      </w:r>
    </w:p>
    <w:p>
      <w:pPr>
        <w:pStyle w:val="Title"/>
      </w:pPr>
      <w:r>
        <w:t>Hanbit Manufacturing FlowDesk Workflow Proposal 2025-06-30</w:t>
      </w:r>
    </w:p>
    <w:p>
      <w:pPr>
        <w:pStyle w:val="Heading1"/>
      </w:pPr>
      <w:r>
        <w:t>Summary</w:t>
      </w:r>
    </w:p>
    <w:p>
      <w:r>
        <w:t>The file opens from a customer escalation review rather than a template queue; the owner captured exact source paragraphs before any commercial language was drafted. Evidence marker NF-4880; customer=Hanbit Manufacturing; industry=advanced manufacturing; product=FlowDesk; companion_product=InsightBridge; office_scope=Seoul HQ, Singapore customer success office, and Austin partnership desk.</w:t>
      </w:r>
    </w:p>
    <w:p>
      <w:r>
        <w:t>Concrete use case: Hanbit Manufacturing will connect renewal packets, security questions, and approval queues to exact source paragraphs. Expected ROI is 19% within two quarters.</w:t>
      </w:r>
    </w:p>
    <w:p>
      <w:pPr>
        <w:pStyle w:val="Heading1"/>
      </w:pPr>
      <w:r>
        <w:t>Industry Fit</w:t>
      </w:r>
    </w:p>
    <w:p>
      <w:r>
        <w:t>advanced manufacturing teams need lower reconciliation load, clearer reviewer ownership, and auditable decision trails while InsightBridge supplies adjacent reporting context.</w:t>
      </w:r>
    </w:p>
    <w:p>
      <w:pPr>
        <w:pStyle w:val="Heading1"/>
      </w:pPr>
      <w:r>
        <w:t>Rollout</w:t>
      </w:r>
    </w:p>
    <w:p>
      <w:r>
        <w:t>Phase 1 maps access and templates; Phase 2 imports live workflows; Phase 3 measures adoption, exception aging, and revenue impact.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