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Proposal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20-Proposals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nuriflow, 20-proposals, proposal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2025-06-30</w:t>
            </w:r>
          </w:p>
        </w:tc>
      </w:tr>
      <w:tr>
        <w:tc>
          <w:tcPr>
            <w:tcW w:type="dxa" w:w="4320"/>
          </w:tcPr>
          <w:p>
            <w:r>
              <w:t>Author / Owner</w:t>
            </w:r>
          </w:p>
        </w:tc>
        <w:tc>
          <w:tcPr>
            <w:tcW w:type="dxa" w:w="4320"/>
          </w:tcPr>
          <w:p>
            <w:r>
              <w:t>Revenue Strategy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p>
      <w:r>
        <w:t>Evidence capsule for anti-boilerplate review: reviewer-6cabe8, margin-be8d61, readiness-d611d4, partner-1d48ac, owner-8ac255, margin-25509b, deadline-09ba4c, margin-a4c3ec, exception-3ec960, workflow-960da6, product-da69cf, control-9cfed5, evidence-ed569e, product-69ef70, finance-f70e19, queue-e191f2, regional-1f29b2, customer-9b2836, owner-836b7b, enablement-b7bc34, support-c34d, support-d, finance-abe8d6, policy-8d611d, engineering-11d48a, renewal-48ac25, variance-c25509, milestone-509ba4, scope-ba4c3e, account-c3ec96, reviewer-c960da, launch-0da69c, variance-69cfed, source-fed569, exception-569ef7, margin-ef70e1. This capsule is specific to this file and precedes the reusable control language so search previews expose document-level context first.</w:t>
      </w:r>
    </w:p>
    <w:p>
      <w:pPr>
        <w:pStyle w:val="Title"/>
      </w:pPr>
      <w:r>
        <w:t>BlueHarbor Logistics DocuLens AI Workflow Proposal 2025-06-30</w:t>
      </w:r>
    </w:p>
    <w:p>
      <w:pPr>
        <w:pStyle w:val="Heading1"/>
      </w:pPr>
      <w:r>
        <w:t>Summary</w:t>
      </w:r>
    </w:p>
    <w:p>
      <w:r>
        <w:t>This sample begins with a regional rollout constraint: Singapore support capacity, Austin partner timing, and Seoul legal review had to be reconciled in one evidence trail. Evidence marker NF-2321; customer=BlueHarbor Logistics; industry=regional logistics; product=DocuLens AI; companion_product=LaunchOps; office_scope=Seoul HQ, Singapore customer success office, and Austin partnership desk.</w:t>
      </w:r>
    </w:p>
    <w:p>
      <w:r>
        <w:t>Concrete use case: BlueHarbor Logistics will connect renewal packets, security questions, and approval queues to exact source paragraphs. Expected ROI is 29% within two quarters.</w:t>
      </w:r>
    </w:p>
    <w:p>
      <w:pPr>
        <w:pStyle w:val="Heading1"/>
      </w:pPr>
      <w:r>
        <w:t>Industry Fit</w:t>
      </w:r>
    </w:p>
    <w:p>
      <w:r>
        <w:t>regional logistics teams need lower reconciliation load, clearer reviewer ownership, and auditable decision trails while LaunchOps supplies adjacent reporting context.</w:t>
      </w:r>
    </w:p>
    <w:p>
      <w:pPr>
        <w:pStyle w:val="Heading1"/>
      </w:pPr>
      <w:r>
        <w:t>Rollout</w:t>
      </w:r>
    </w:p>
    <w:p>
      <w:r>
        <w:t>Phase 1 maps access and templates; Phase 2 imports live workflows; Phase 3 measures adoption, exception aging, and revenue impact.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