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20-Proposals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20-proposals, proposal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2025-06-30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Strategy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workflow-a995e4, workflow-5e4830, citation-830361, budget-3611fe, owner-1fe401, exception-4011a5, partner-1a50c5, workflow-0c54e7, budget-4e7244, readiness-24485c, forecast-85ce63, readiness-e63c33, margin-c33048, enablement-048cfc, enablement-cfc6f8, deadline-6f8a88, forecast-a88a5b, owner-a5b752, deadline-752fbe, account-fbe911, legal-9111, regional-1, scope-95e483, enablement-483036, enablement-03611f, renewal-11fe40, audit-e4011a, account-11a50c, template-50c54e, audit-54e724, variance-724485, milestone-485ce6, latency-ce63c3, workflow-3c3304, clause-3048cf, variance-8cfc6f. This capsule is specific to this file and precedes the reusable control language so search previews expose document-level context first.</w:t>
      </w:r>
    </w:p>
    <w:p>
      <w:pPr>
        <w:pStyle w:val="Title"/>
      </w:pPr>
      <w:r>
        <w:t>Mirae Health Network Marketplace Preview Workflow Proposal 2025-06-30</w:t>
      </w:r>
    </w:p>
    <w:p>
      <w:pPr>
        <w:pStyle w:val="Heading1"/>
      </w:pPr>
      <w:r>
        <w:t>Summary</w:t>
      </w:r>
    </w:p>
    <w:p>
      <w:r>
        <w:t>The document records a late-stage executive question about measurable adoption, so the first page emphasizes proof, owner names, and decision timing. Evidence marker NF-1670; customer=Mirae Health Network; industry=healthcare operations; product=Marketplace Preview; companion_product=DocuLens AI; office_scope=Seoul HQ, Singapore customer success office, and Austin partnership desk.</w:t>
      </w:r>
    </w:p>
    <w:p>
      <w:r>
        <w:t>Concrete use case: Mirae Health Network will connect renewal packets, security questions, and approval queues to exact source paragraphs. Expected ROI is 23% within two quarters.</w:t>
      </w:r>
    </w:p>
    <w:p>
      <w:pPr>
        <w:pStyle w:val="Heading1"/>
      </w:pPr>
      <w:r>
        <w:t>Industry Fit</w:t>
      </w:r>
    </w:p>
    <w:p>
      <w:r>
        <w:t>healthcare operations teams need lower reconciliation load, clearer reviewer ownership, and auditable decision trails while DocuLens AI supplies adjacent reporting context.</w:t>
      </w:r>
    </w:p>
    <w:p>
      <w:pPr>
        <w:pStyle w:val="Heading1"/>
      </w:pPr>
      <w:r>
        <w:t>Rollout</w:t>
      </w:r>
    </w:p>
    <w:p>
      <w:r>
        <w:t>Phase 1 maps access and templates; Phase 2 imports live workflows; Phase 3 measures adoption, exception aging, and revenue impact.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