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Proposal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20-Proposals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20-proposals, proposal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2025-06-30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Strategy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clause-3845e7, exception-5e77a8, reviewer-7a8501, budget-501d85, owner-d85e52, readiness-e52f53, margin-f53f30, queue-f3058a, forecast-58a3d4, partner-3d48d4, workflow-8d49de, readiness-9dea85, legal-a850ae, regional-0aec5b, deadline-c5bcef, account-cefe4c, regional-e4c662, deadline-6621de, audit-1dec93, security-c93afc, product-afcc, milestone-c, legal-45e77a, product-77a850, account-8501d8, audit-1d85e5, milestone-5e52f5, executive-2f53f3, launch-3f3058, audit-058a3d, variance-a3d48d, latency-48d49d, milestone-49dea8, source-ea850a, workflow-50aec5, readiness-ec5bce. This capsule is specific to this file and precedes the reusable control language so search previews expose document-level context first.</w:t>
      </w:r>
    </w:p>
    <w:p>
      <w:pPr>
        <w:pStyle w:val="Title"/>
      </w:pPr>
      <w:r>
        <w:t>Aster Public Services Marketplace Preview Workflow Proposal 2025-06-30</w:t>
      </w:r>
    </w:p>
    <w:p>
      <w:pPr>
        <w:pStyle w:val="Heading1"/>
      </w:pPr>
      <w:r>
        <w:t>Summary</w:t>
      </w:r>
    </w:p>
    <w:p>
      <w:r>
        <w:t>This version was prepared after a security objection, so the opening language names the control surface before discussing product benefits or timeline. Evidence marker NF-9481; customer=Aster Public Services; industry=public sector; product=Marketplace Preview; companion_product=DocuLens AI; office_scope=Seoul HQ, Singapore customer success office, and Austin partnership desk.</w:t>
      </w:r>
    </w:p>
    <w:p>
      <w:r>
        <w:t>Concrete use case: Aster Public Services will connect renewal packets, security questions, and approval queues to exact source paragraphs. Expected ROI is 27% within two quarters.</w:t>
      </w:r>
    </w:p>
    <w:p>
      <w:pPr>
        <w:pStyle w:val="Heading1"/>
      </w:pPr>
      <w:r>
        <w:t>Industry Fit</w:t>
      </w:r>
    </w:p>
    <w:p>
      <w:r>
        <w:t>public sector teams need lower reconciliation load, clearer reviewer ownership, and auditable decision trails while DocuLens AI supplies adjacent reporting context.</w:t>
      </w:r>
    </w:p>
    <w:p>
      <w:pPr>
        <w:pStyle w:val="Heading1"/>
      </w:pPr>
      <w:r>
        <w:t>Rollout</w:t>
      </w:r>
    </w:p>
    <w:p>
      <w:r>
        <w:t>Phase 1 maps access and templates; Phase 2 imports live workflows; Phase 3 measures adoption, exception aging, and revenue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