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Proposal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20-Proposals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20-proposals, proposal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2025-06-30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Strategy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margin-d48234, source-2342ba, workflow-2ba635, source-6355a4, latency-5a4c89, exception-c897be, budget-7be1d2, owner-1d24c6, owner-4c6248, control-2486d4, margin-6d4847, forecast-847509, queue-5091ca, product-1ca30e, owner-30ee05, engineering-e0585c, security-85c58a, finance-58a78d, legal-78d5e9, executive-5e9c30, scope-c306, customer-6, policy-82342b, legal-42ba63, enablement-a6355a, adoption-55a4c8, template-4c897b, account-97be1d, template-e1d24c, adoption-24c624, milestone-62486d, latency-86d484, milestone-484750, launch-75091c, variance-91ca30, source-a30ee0. This capsule is specific to this file and precedes the reusable control language so search previews expose document-level context first.</w:t>
      </w:r>
    </w:p>
    <w:p>
      <w:pPr>
        <w:pStyle w:val="Title"/>
      </w:pPr>
      <w:r>
        <w:t>Vela Energy InsightBridge Workflow Proposal 2025-06-30</w:t>
      </w:r>
    </w:p>
    <w:p>
      <w:pPr>
        <w:pStyle w:val="Heading1"/>
      </w:pPr>
      <w:r>
        <w:t>Summary</w:t>
      </w:r>
    </w:p>
    <w:p>
      <w:r>
        <w:t>The document captures a board-prep perspective where finance, product, and customer evidence need to tell the same story without overstating automation. Evidence marker NF-5380; customer=Vela Energy; industry=renewable energy; product=InsightBridge; companion_product=Marketplace Preview; office_scope=Seoul HQ, Singapore customer success office, and Austin partnership desk.</w:t>
      </w:r>
    </w:p>
    <w:p>
      <w:r>
        <w:t>Concrete use case: Vela Energy will connect renewal packets, security questions, and approval queues to exact source paragraphs. Expected ROI is 25% within two quarters.</w:t>
      </w:r>
    </w:p>
    <w:p>
      <w:pPr>
        <w:pStyle w:val="Heading1"/>
      </w:pPr>
      <w:r>
        <w:t>Industry Fit</w:t>
      </w:r>
    </w:p>
    <w:p>
      <w:r>
        <w:t>renewable energy teams need lower reconciliation load, clearer reviewer ownership, and auditable decision trails while Marketplace Preview supplies adjacent reporting context.</w:t>
      </w:r>
    </w:p>
    <w:p>
      <w:pPr>
        <w:pStyle w:val="Heading1"/>
      </w:pPr>
      <w:r>
        <w:t>Rollout</w:t>
      </w:r>
    </w:p>
    <w:p>
      <w:r>
        <w:t>Phase 1 maps access and templates; Phase 2 imports live workflows; Phase 3 measures adoption, exception aging, and revenue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