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Proposal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20-Proposals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20-proposals, proposal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2025-06-30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Strategy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margin-d22017, clause-017d8a, launch-d8a156, clause-156bc2, source-bc2240, readiness-2404eb, deadline-4eb46d, control-46d4b2, owner-4b293e, workflow-93ec44, control-c44d2b, queue-d2b25d, product-25d5b9, legal-5b9740, forecast-740961, queue-96196f, evidence-96fee4, queue-ee4033, customer-0331ab, audit-1ab5a1, support-5a13, legal-3, enablement-2017d8, milestone-7d8a15, enablement-a156bc, milestone-6bc224, enablement-22404e, milestone-04eb46, support-b46d4b, reviewer-d4b293, source-293ec4, policy-ec44d2, milestone-4d2b25, exception-b25d5b, milestone-d5b974, exception-974096. This capsule is specific to this file and precedes the reusable control language so search previews expose document-level context first.</w:t>
      </w:r>
    </w:p>
    <w:p>
      <w:pPr>
        <w:pStyle w:val="Title"/>
      </w:pPr>
      <w:r>
        <w:t>Atlas Biotech LaunchOps Workflow Proposal 2025-06-30</w:t>
      </w:r>
    </w:p>
    <w:p>
      <w:pPr>
        <w:pStyle w:val="Heading1"/>
      </w:pPr>
      <w:r>
        <w:t>Summary</w:t>
      </w:r>
    </w:p>
    <w:p>
      <w:r>
        <w:t>The partner team requested a shorter approval path; this file documents the safeguards that keep speed from bypassing Legal, Security, or Product review. Evidence marker NF-8837; customer=Atlas Biotech; industry=life sciences; product=LaunchOps; companion_product=FlowDesk; office_scope=Seoul HQ, Singapore customer success office, and Austin partnership desk.</w:t>
      </w:r>
    </w:p>
    <w:p>
      <w:r>
        <w:t>Concrete use case: Atlas Biotech will connect renewal packets, security questions, and approval queues to exact source paragraphs. Expected ROI is 13% within two quarters.</w:t>
      </w:r>
    </w:p>
    <w:p>
      <w:pPr>
        <w:pStyle w:val="Heading1"/>
      </w:pPr>
      <w:r>
        <w:t>Industry Fit</w:t>
      </w:r>
    </w:p>
    <w:p>
      <w:r>
        <w:t>life sciences teams need lower reconciliation load, clearer reviewer ownership, and auditable decision trails while FlowDesk supplies adjacent reporting context.</w:t>
      </w:r>
    </w:p>
    <w:p>
      <w:pPr>
        <w:pStyle w:val="Heading1"/>
      </w:pPr>
      <w:r>
        <w:t>Rollout</w:t>
      </w:r>
    </w:p>
    <w:p>
      <w:r>
        <w:t>Phase 1 maps access and templates; Phase 2 imports live workflows; Phase 3 measures adoption, exception aging, and revenue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