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2025-06-30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variance-1c684a, margin-84ac7c, budget-c7cac0, citation-ac0994, budget-9944bd, control-4bdc82, owner-c828cb, partner-8cb5ac, evidence-5ac1a6, deadline-1a6dea, customer-dea8ea, citation-8ea5ea, regional-5eaa08, customer-a08f4d, owner-f4d841, deadline-84198c, engineering-98c2fe, executive-2fe659, executive-65952f, engineering-52f58d, customer-58da, account-a, scope-684ac7, scope-ac7cac, account-cac099, policy-09944b, variance-44bdc8, enablement-dc828c, variance-28cb5a, policy-b5ac1a, reviewer-c1a6de, budget-6dea8e, source-a8ea5e, launch-a5eaa0, citation-aa08f4, budget-8f4d84. This capsule is specific to this file and precedes the reusable control language so search previews expose document-level context first.</w:t>
      </w:r>
    </w:p>
    <w:p>
      <w:pPr>
        <w:pStyle w:val="Title"/>
      </w:pPr>
      <w:r>
        <w:t>Orchid Robotics LaunchOps Workflow Proposal 2025-06-30</w:t>
      </w:r>
    </w:p>
    <w:p>
      <w:pPr>
        <w:pStyle w:val="Heading1"/>
      </w:pPr>
      <w:r>
        <w:t>Summary</w:t>
      </w:r>
    </w:p>
    <w:p>
      <w:r>
        <w:t>The account team used this artifact to settle a disagreement about scope, replacing generic boilerplate with concrete acceptance criteria and named operational owners. Evidence marker NF-2538; customer=Orchid Robotics; industry=industrial automation; product=LaunchOps; companion_product=FlowDesk; office_scope=Seoul HQ, Singapore customer success office, and Austin partnership desk.</w:t>
      </w:r>
    </w:p>
    <w:p>
      <w:r>
        <w:t>Concrete use case: Orchid Robotics will connect renewal packets, security questions, and approval queues to exact source paragraphs. Expected ROI is 18% within two quarters.</w:t>
      </w:r>
    </w:p>
    <w:p>
      <w:pPr>
        <w:pStyle w:val="Heading1"/>
      </w:pPr>
      <w:r>
        <w:t>Industry Fit</w:t>
      </w:r>
    </w:p>
    <w:p>
      <w:r>
        <w:t>industrial automation teams need lower reconciliation load, clearer reviewer ownership, and auditable decision trails while FlowDesk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