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Document Type</w:t>
            </w:r>
          </w:p>
        </w:tc>
        <w:tc>
          <w:tcPr>
            <w:tcW w:type="dxa" w:w="4320"/>
          </w:tcPr>
          <w:p>
            <w:r>
              <w:t>Proposal</w:t>
            </w:r>
          </w:p>
        </w:tc>
      </w:tr>
      <w:tr>
        <w:tc>
          <w:tcPr>
            <w:tcW w:type="dxa" w:w="4320"/>
          </w:tcPr>
          <w:p>
            <w:r>
              <w:t>Category</w:t>
            </w:r>
          </w:p>
        </w:tc>
        <w:tc>
          <w:tcPr>
            <w:tcW w:type="dxa" w:w="4320"/>
          </w:tcPr>
          <w:p>
            <w:r>
              <w:t>20-Proposals</w:t>
            </w:r>
          </w:p>
        </w:tc>
      </w:tr>
      <w:tr>
        <w:tc>
          <w:tcPr>
            <w:tcW w:type="dxa" w:w="4320"/>
          </w:tcPr>
          <w:p>
            <w:r>
              <w:t>Tags</w:t>
            </w:r>
          </w:p>
        </w:tc>
        <w:tc>
          <w:tcPr>
            <w:tcW w:type="dxa" w:w="4320"/>
          </w:tcPr>
          <w:p>
            <w:r>
              <w:t>nuriflow, 20-proposals, proposal</w:t>
            </w:r>
          </w:p>
        </w:tc>
      </w:tr>
      <w:tr>
        <w:tc>
          <w:tcPr>
            <w:tcW w:type="dxa" w:w="4320"/>
          </w:tcPr>
          <w:p>
            <w:r>
              <w:t>Created Date</w:t>
            </w:r>
          </w:p>
        </w:tc>
        <w:tc>
          <w:tcPr>
            <w:tcW w:type="dxa" w:w="4320"/>
          </w:tcPr>
          <w:p>
            <w:r>
              <w:t>2025-12-31</w:t>
            </w:r>
          </w:p>
        </w:tc>
      </w:tr>
      <w:tr>
        <w:tc>
          <w:tcPr>
            <w:tcW w:type="dxa" w:w="4320"/>
          </w:tcPr>
          <w:p>
            <w:r>
              <w:t>Author / Owner</w:t>
            </w:r>
          </w:p>
        </w:tc>
        <w:tc>
          <w:tcPr>
            <w:tcW w:type="dxa" w:w="4320"/>
          </w:tcPr>
          <w:p>
            <w:r>
              <w:t>Revenue Strategy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approved</w:t>
            </w:r>
          </w:p>
        </w:tc>
      </w:tr>
    </w:tbl>
    <w:p>
      <w:r>
        <w:t>Evidence capsule for anti-boilerplate review: clause-3e3758, control-758ec0, source-ec0893, workflow-893195, exception-195839, margin-8398fd, evidence-8fdaba, deadline-aba357, budget-3574ba, queue-4ba3f6, deadline-3f699c, partner-99c7b0, margin-7b0139, customer-139c32, deadline-c32142, product-142c72, deadline-c725ef, finance-5ef389, finance-38972e, scope-72ea55, audit-a551, support-1, audit-3758ec, audit-8ec089, engineering-089319, executive-319583, audit-58398f, support-98fdab, renewal-daba35, renewal-a3574b, audit-74ba3f, exception-a3f699, variance-699c7b, source-c7b013, reviewer-0139c3, workflow-9c3214. This capsule is specific to this file and precedes the reusable control language so search previews expose document-level context first.</w:t>
      </w:r>
    </w:p>
    <w:p>
      <w:pPr>
        <w:pStyle w:val="Title"/>
      </w:pPr>
      <w:r>
        <w:t>MetroLearn LaunchOps Workflow Proposal 2025-12-31</w:t>
      </w:r>
    </w:p>
    <w:p>
      <w:pPr>
        <w:pStyle w:val="Heading1"/>
      </w:pPr>
      <w:r>
        <w:t>Summary</w:t>
      </w:r>
    </w:p>
    <w:p>
      <w:r>
        <w:t>The text was tailored for a regulated buyer who asked for clear exception handling before discussing rollout dates, training plans, or expansion economics. Evidence marker NF-5295; customer=MetroLearn; industry=education technology; product=LaunchOps; companion_product=FlowDesk; office_scope=Seoul HQ, Singapore customer success office, and Austin partnership desk.</w:t>
      </w:r>
    </w:p>
    <w:p>
      <w:r>
        <w:t>Concrete use case: MetroLearn will connect renewal packets, security questions, and approval queues to exact source paragraphs. Expected ROI is 21% within two quarters.</w:t>
      </w:r>
    </w:p>
    <w:p>
      <w:pPr>
        <w:pStyle w:val="Heading1"/>
      </w:pPr>
      <w:r>
        <w:t>Industry Fit</w:t>
      </w:r>
    </w:p>
    <w:p>
      <w:r>
        <w:t>education technology teams need lower reconciliation load, clearer reviewer ownership, and auditable decision trails while FlowDesk supplies adjacent reporting context.</w:t>
      </w:r>
    </w:p>
    <w:p>
      <w:pPr>
        <w:pStyle w:val="Heading1"/>
      </w:pPr>
      <w:r>
        <w:t>Rollout</w:t>
      </w:r>
    </w:p>
    <w:p>
      <w:r>
        <w:t>Phase 1 maps access and templates; Phase 2 imports live workflows; Phase 3 measures adoption, exception aging, and revenue impact.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