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Proposal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20-Proposals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20-proposals, proposal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2025-12-31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Revenue Strategy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variance-13696b, launch-96bf37, budget-f37244, readiness-24409e, workflow-09e396, forecast-3960c5, regional-0c50b8, workflow-0b84de, control-4deff7, citation-ff7064, partner-0644af, control-4affee, readiness-feed30, customer-d30a32, enablement-a32eca, owner-ecacf1, legal-cf12ee, product-2eeadf, owner-adf2cf, support-2cf48e, legal-48e7, regional-7, audit-696bf3, support-bf3724, enablement-724409, variance-409e39, clause-e3960c, source-60c50b, reviewer-50b84d, milestone-84deff, executive-eff706, adoption-70644a, milestone-44affe, adoption-ffeed3, latency-ed30a3, margin-0a32ec. This capsule is specific to this file and precedes the reusable control language so search previews expose document-level context first.</w:t>
      </w:r>
    </w:p>
    <w:p>
      <w:pPr>
        <w:pStyle w:val="Title"/>
      </w:pPr>
      <w:r>
        <w:t>CivicBridge Agency InsightBridge Workflow Proposal 2025-12-31</w:t>
      </w:r>
    </w:p>
    <w:p>
      <w:pPr>
        <w:pStyle w:val="Heading1"/>
      </w:pPr>
      <w:r>
        <w:t>Summary</w:t>
      </w:r>
    </w:p>
    <w:p>
      <w:r>
        <w:t>The document answers a simple governance question: who decides, who verifies the source, and what happens when the workflow produces an exception. Evidence marker NF-1395; customer=CivicBridge Agency; industry=local government; product=InsightBridge; companion_product=Marketplace Preview; office_scope=Seoul HQ, Singapore customer success office, and Austin partnership desk.</w:t>
      </w:r>
    </w:p>
    <w:p>
      <w:r>
        <w:t>Concrete use case: CivicBridge Agency will connect renewal packets, security questions, and approval queues to exact source paragraphs. Expected ROI is 23% within two quarters.</w:t>
      </w:r>
    </w:p>
    <w:p>
      <w:pPr>
        <w:pStyle w:val="Heading1"/>
      </w:pPr>
      <w:r>
        <w:t>Industry Fit</w:t>
      </w:r>
    </w:p>
    <w:p>
      <w:r>
        <w:t>local government teams need lower reconciliation load, clearer reviewer ownership, and auditable decision trails while Marketplace Preview supplies adjacent reporting context.</w:t>
      </w:r>
    </w:p>
    <w:p>
      <w:pPr>
        <w:pStyle w:val="Heading1"/>
      </w:pPr>
      <w:r>
        <w:t>Rollout</w:t>
      </w:r>
    </w:p>
    <w:p>
      <w:r>
        <w:t>Phase 1 maps access and templates; Phase 2 imports live workflows; Phase 3 measures adoption, exception aging, and revenue impact.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