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Proposal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20-Proposals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20-proposals, proposal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2025-12-31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Revenue Strategy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approved</w:t>
            </w:r>
          </w:p>
        </w:tc>
      </w:tr>
    </w:tbl>
    <w:p>
      <w:r>
        <w:t>Evidence capsule for anti-boilerplate review: launch-424b6d, clause-b6d456, reviewer-4566d9, partner-6d99b3, workflow-9b395a, owner-95a4de, workflow-4deff9, readiness-ff9843, partner-8432f2, control-2f2d11, product-d11387, evidence-387402, regional-402201, security-2018c2, queue-8c2972, security-972f4f, regional-f4f80a, engineering-80a594, customer-594358, template-358515, scope-515d, milestone-d, adoption-4b6d45, template-d4566d, template-66d99b, account-99b395, account-395a4d, account-a4deff, reviewer-eff984, support-98432f, reviewer-32f2d1, template-2d1138, audit-138740, milestone-740220, source-22018c, source-18c297. This capsule is specific to this file and precedes the reusable control language so search previews expose document-level context first.</w:t>
      </w:r>
    </w:p>
    <w:p>
      <w:pPr>
        <w:pStyle w:val="Title"/>
      </w:pPr>
      <w:r>
        <w:t>Contour Retail LaunchOps Workflow Proposal 2025-12-31</w:t>
      </w:r>
    </w:p>
    <w:p>
      <w:pPr>
        <w:pStyle w:val="Heading1"/>
      </w:pPr>
      <w:r>
        <w:t>Summary</w:t>
      </w:r>
    </w:p>
    <w:p>
      <w:r>
        <w:t>The review trail shows an implementation team moving from generic enablement notes to customer-specific milestones, evidence owners, and approval gates. Evidence marker NF-2887; customer=Contour Retail; industry=specialty retail; product=LaunchOps; companion_product=FlowDesk; office_scope=Seoul HQ, Singapore customer success office, and Austin partnership desk.</w:t>
      </w:r>
    </w:p>
    <w:p>
      <w:r>
        <w:t>Concrete use case: Contour Retail will connect renewal packets, security questions, and approval queues to exact source paragraphs. Expected ROI is 13% within two quarters.</w:t>
      </w:r>
    </w:p>
    <w:p>
      <w:pPr>
        <w:pStyle w:val="Heading1"/>
      </w:pPr>
      <w:r>
        <w:t>Industry Fit</w:t>
      </w:r>
    </w:p>
    <w:p>
      <w:r>
        <w:t>specialty retail teams need lower reconciliation load, clearer reviewer ownership, and auditable decision trails while FlowDesk supplies adjacent reporting context.</w:t>
      </w:r>
    </w:p>
    <w:p>
      <w:pPr>
        <w:pStyle w:val="Heading1"/>
      </w:pPr>
      <w:r>
        <w:t>Rollout</w:t>
      </w:r>
    </w:p>
    <w:p>
      <w:r>
        <w:t>Phase 1 maps access and templates; Phase 2 imports live workflows; Phase 3 measures adoption, exception aging, and revenue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