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Proposal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20-Proposals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20-proposals, proposal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2025-12-31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Revenue Strategy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clause-3921a4, workflow-1a44c2, launch-4c20ce, launch-0ce60e, partner-60eb2c, exception-b2c411, workflow-4112c3, deadline-2c3e25, workflow-e2575d, exception-75d881, customer-88183d, legal-83da30, owner-a30741, margin-741b0d, enablement-b0d33d, finance-33d036, owner-036056, account-056f36, customer-f364df, evidence-4df5ec, regional-5ec5, product-5, scope-21a44c, finance-44c20c, variance-20ce60, engineering-e60eb2, support-eb2c41, scope-c4112c, audit-12c3e2, source-3e2575, variance-575d88, renewal-d88183, audit-183da3, launch-da3074, adoption-0741b0, citation-1b0d33. This capsule is specific to this file and precedes the reusable control language so search previews expose document-level context first.</w:t>
      </w:r>
    </w:p>
    <w:p>
      <w:pPr>
        <w:pStyle w:val="Title"/>
      </w:pPr>
      <w:r>
        <w:t>Gaia Power FlowDesk Workflow Proposal 2025-12-31</w:t>
      </w:r>
    </w:p>
    <w:p>
      <w:pPr>
        <w:pStyle w:val="Heading1"/>
      </w:pPr>
      <w:r>
        <w:t>Summary</w:t>
      </w:r>
    </w:p>
    <w:p>
      <w:r>
        <w:t>The document is anchored in Seoul HQ operating cadence but includes Singapore and Austin dependencies where regional teams own customer-facing follow-through. Evidence marker NF-3764; customer=Gaia Power; industry=energy operations; product=FlowDesk; companion_product=InsightBridge; office_scope=Seoul HQ, Singapore customer success office, and Austin partnership desk.</w:t>
      </w:r>
    </w:p>
    <w:p>
      <w:r>
        <w:t>Concrete use case: Gaia Power will connect renewal packets, security questions, and approval queues to exact source paragraphs. Expected ROI is 12% within two quarters.</w:t>
      </w:r>
    </w:p>
    <w:p>
      <w:pPr>
        <w:pStyle w:val="Heading1"/>
      </w:pPr>
      <w:r>
        <w:t>Industry Fit</w:t>
      </w:r>
    </w:p>
    <w:p>
      <w:r>
        <w:t>energy operations teams need lower reconciliation load, clearer reviewer ownership, and auditable decision trails while InsightBridge supplies adjacent reporting context.</w:t>
      </w:r>
    </w:p>
    <w:p>
      <w:pPr>
        <w:pStyle w:val="Heading1"/>
      </w:pPr>
      <w:r>
        <w:t>Rollout</w:t>
      </w:r>
    </w:p>
    <w:p>
      <w:r>
        <w:t>Phase 1 maps access and templates; Phase 2 imports live workflows; Phase 3 measures adoption, exception aging, and revenue impact.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