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renewal-244ec4, source-ec440a, reviewer-40a740, queue-7409d9, forecast-9d9d3d, exception-d3d81b, workflow-81b071, latency-071c9a, owner-c9a578, forecast-578d4e, partner-d4e9b4, citation-9b4cf3, regional-cf37e4, finance-7e4859, product-859ca8, enablement-ca8dd9, deadline-dd95db, executive-5db1bd, finance-1bd23a, evidence-23aa93, support-a93a, regional-a, account-4ec440, security-440a74, milestone-a7409d, scope-09d9d3, milestone-9d3d81, template-d81b07, policy-b071c9, adoption-1c9a57, reviewer-a578d4, policy-8d4e9b, exception-e9b4cf, source-4cf37e, budget-37e485, renewal-4859ca. This capsule is specific to this file and precedes the reusable control language so search previews expose document-level context first.</w:t>
      </w:r>
    </w:p>
    <w:p>
      <w:pPr>
        <w:pStyle w:val="Title"/>
      </w:pPr>
      <w:r>
        <w:t>Cobalt Systems LaunchOps Workflow Proposal 2025-12-31</w:t>
      </w:r>
    </w:p>
    <w:p>
      <w:pPr>
        <w:pStyle w:val="Heading1"/>
      </w:pPr>
      <w:r>
        <w:t>Summary</w:t>
      </w:r>
    </w:p>
    <w:p>
      <w:r>
        <w:t>The opening page is intentionally practical: it identifies the audience, the decision pressure, the product dependency, and the next action required. Evidence marker NF-0019; customer=Cobalt Systems; industry=software infrastructure; product=LaunchOps; companion_product=FlowDesk; office_scope=Seoul HQ, Singapore customer success office, and Austin partnership desk.</w:t>
      </w:r>
    </w:p>
    <w:p>
      <w:r>
        <w:t>Concrete use case: Cobalt Systems will connect renewal packets, security questions, and approval queues to exact source paragraphs. Expected ROI is 21% within two quarters.</w:t>
      </w:r>
    </w:p>
    <w:p>
      <w:pPr>
        <w:pStyle w:val="Heading1"/>
      </w:pPr>
      <w:r>
        <w:t>Industry Fit</w:t>
      </w:r>
    </w:p>
    <w:p>
      <w:r>
        <w:t>software infrastructure teams need lower reconciliation load, clearer reviewer ownership, and auditable decision trails while FlowDesk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