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margin-de9e17, control-e17c5a, citation-c5a1b5, queue-1b57a7, source-7a78a9, readiness-8a9744, owner-744601, readiness-60113e, owner-13e116, workflow-116c6f, regional-c6f0fb, forecast-0fbdcd, deadline-dcd393, product-393646, regional-646d53, product-d53b6e, finance-b6ef32, finance-f32425, legal-425e0d, product-e0d6ae, security-6aed, engineering-d, customer-9e17c5, security-7c5a1b, legal-a1b57a, enablement-57a78a, clause-78a974, enablement-974460, account-460113, policy-113e11, source-e116c6, adoption-6c6f0f, workflow-f0fbdc, audit-bdcd39, readiness-d39364, exception-3646d5. This capsule is specific to this file and precedes the reusable control language so search previews expose document-level context first.</w:t>
      </w:r>
    </w:p>
    <w:p>
      <w:pPr>
        <w:pStyle w:val="Title"/>
      </w:pPr>
      <w:r>
        <w:t>Mokpo Freight LaunchOps Workflow Proposal 2025-12-31</w:t>
      </w:r>
    </w:p>
    <w:p>
      <w:pPr>
        <w:pStyle w:val="Heading1"/>
      </w:pPr>
      <w:r>
        <w:t>Summary</w:t>
      </w:r>
    </w:p>
    <w:p>
      <w:r>
        <w:t>The customer asked for fewer meetings and stronger proof; this file turns that request into a documented workflow with accountable follow-up. Evidence marker NF-3294; customer=Mokpo Freight; industry=logistics; product=LaunchOps; companion_product=FlowDesk; office_scope=Seoul HQ, Singapore customer success office, and Austin partnership desk.</w:t>
      </w:r>
    </w:p>
    <w:p>
      <w:r>
        <w:t>Concrete use case: Mokpo Freight will connect renewal packets, security questions, and approval queues to exact source paragraphs. Expected ROI is 25% within two quarters.</w:t>
      </w:r>
    </w:p>
    <w:p>
      <w:pPr>
        <w:pStyle w:val="Heading1"/>
      </w:pPr>
      <w:r>
        <w:t>Industry Fit</w:t>
      </w:r>
    </w:p>
    <w:p>
      <w:r>
        <w:t>logistics teams need lower reconciliation load, clearer reviewer ownership, and auditable decision trails while FlowDesk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