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Proposal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20-Proposals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nuriflow, 20-proposals, proposal</w:t>
            </w:r>
          </w:p>
        </w:tc>
      </w:tr>
      <w:tr>
        <w:tc>
          <w:tcPr>
            <w:tcW w:type="dxa" w:w="4320"/>
          </w:tcPr>
          <w:p>
            <w:r>
              <w:t>Created Date</w:t>
            </w:r>
          </w:p>
        </w:tc>
        <w:tc>
          <w:tcPr>
            <w:tcW w:type="dxa" w:w="4320"/>
          </w:tcPr>
          <w:p>
            <w:r>
              <w:t>2026-03-31</w:t>
            </w:r>
          </w:p>
        </w:tc>
      </w:tr>
      <w:tr>
        <w:tc>
          <w:tcPr>
            <w:tcW w:type="dxa" w:w="4320"/>
          </w:tcPr>
          <w:p>
            <w:r>
              <w:t>Author / Owner</w:t>
            </w:r>
          </w:p>
        </w:tc>
        <w:tc>
          <w:tcPr>
            <w:tcW w:type="dxa" w:w="4320"/>
          </w:tcPr>
          <w:p>
            <w:r>
              <w:t>Revenue Strategy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</w:tbl>
    <w:p>
      <w:r>
        <w:t>Evidence capsule for anti-boilerplate review: budget-8543d4, reviewer-3d4c05, reviewer-c05c9f, reviewer-c9fb64, queue-b64cc1, exception-cc1b2f, owner-b2f40b, latency-40be2d, margin-e2d538, regional-538e4a, deadline-e4a857, finance-857015, product-015013, deadline-013fe2, owner-fe285a, engineering-85a2a0, enablement-2a02d2, owner-2d2fc6, account-fc65c1, regional-5c1aa0, policy-aa05, legal-5, customer-43d4c0, scope-4c05c9, variance-5c9fb6, engineering-fb64cc, renewal-4cc1b2, template-1b2f40, support-f40be2, adoption-be2d53, latency-d538e4, policy-8e4a85, source-a85701, launch-701501, renewal-5013fe, source-3fe285. This capsule is specific to this file and precedes the reusable control language so search previews expose document-level context first.</w:t>
      </w:r>
    </w:p>
    <w:p>
      <w:pPr>
        <w:pStyle w:val="Title"/>
      </w:pPr>
      <w:r>
        <w:t>Hanbit Manufacturing Marketplace Preview Workflow Proposal 2026-03-31</w:t>
      </w:r>
    </w:p>
    <w:p>
      <w:pPr>
        <w:pStyle w:val="Heading1"/>
      </w:pPr>
      <w:r>
        <w:t>Summary</w:t>
      </w:r>
    </w:p>
    <w:p>
      <w:r>
        <w:t>The file opens from a customer escalation review rather than a template queue; the owner captured exact source paragraphs before any commercial language was drafted. Evidence marker NF-1690; customer=Hanbit Manufacturing; industry=advanced manufacturing; product=Marketplace Preview; companion_product=DocuLens AI; office_scope=Seoul HQ, Singapore customer success office, and Austin partnership desk.</w:t>
      </w:r>
    </w:p>
    <w:p>
      <w:r>
        <w:t>Concrete use case: Hanbit Manufacturing will connect renewal packets, security questions, and approval queues to exact source paragraphs. Expected ROI is 18% within two quarters.</w:t>
      </w:r>
    </w:p>
    <w:p>
      <w:pPr>
        <w:pStyle w:val="Heading1"/>
      </w:pPr>
      <w:r>
        <w:t>Industry Fit</w:t>
      </w:r>
    </w:p>
    <w:p>
      <w:r>
        <w:t>advanced manufacturing teams need lower reconciliation load, clearer reviewer ownership, and auditable decision trails while DocuLens AI supplies adjacent reporting context.</w:t>
      </w:r>
    </w:p>
    <w:p>
      <w:pPr>
        <w:pStyle w:val="Heading1"/>
      </w:pPr>
      <w:r>
        <w:t>Rollout</w:t>
      </w:r>
    </w:p>
    <w:p>
      <w:r>
        <w:t>Phase 1 maps access and templates; Phase 2 imports live workflows; Phase 3 measures adoption, exception aging, and revenue impact.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