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Proposal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20-Proposals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nuriflow, 20-proposals, proposal</w:t>
            </w:r>
          </w:p>
        </w:tc>
      </w:tr>
      <w:tr>
        <w:tc>
          <w:tcPr>
            <w:tcW w:type="dxa" w:w="4320"/>
          </w:tcPr>
          <w:p>
            <w:r>
              <w:t>Created Date</w:t>
            </w:r>
          </w:p>
        </w:tc>
        <w:tc>
          <w:tcPr>
            <w:tcW w:type="dxa" w:w="4320"/>
          </w:tcPr>
          <w:p>
            <w:r>
              <w:t>2026-04-30</w:t>
            </w:r>
          </w:p>
        </w:tc>
      </w:tr>
      <w:tr>
        <w:tc>
          <w:tcPr>
            <w:tcW w:type="dxa" w:w="4320"/>
          </w:tcPr>
          <w:p>
            <w:r>
              <w:t>Author / Owner</w:t>
            </w:r>
          </w:p>
        </w:tc>
        <w:tc>
          <w:tcPr>
            <w:tcW w:type="dxa" w:w="4320"/>
          </w:tcPr>
          <w:p>
            <w:r>
              <w:t>Revenue Strategy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</w:tbl>
    <w:p>
      <w:r>
        <w:t>Evidence capsule for anti-boilerplate review: citation-ba9af3, citation-af3441, citation-441dda, margin-dda4e3, deadline-4e33ef, budget-3efde2, workflow-de2899, citation-899dc7, exception-dc7597, customer-597832, product-832dd9, regional-dd9f26, forecast-f26c2e, engineering-c2e150, queue-15089b, owner-89bf2d, executive-f2dfb7, template-fb785b, support-85bf81, audit-f8105c, customer-05c7, account-7, support-9af344, template-3441dd, adoption-1dda4e, adoption-a4e33e, audit-33efde, template-fde289, adoption-2899dc, milestone-9dc759, variance-759783, scope-7832dd, scope-2dd9f2, exception-9f26c2, workflow-6c2e15, latency-e15089. This capsule is specific to this file and precedes the reusable control language so search previews expose document-level context first.</w:t>
      </w:r>
    </w:p>
    <w:p>
      <w:pPr>
        <w:pStyle w:val="Title"/>
      </w:pPr>
      <w:r>
        <w:t>BlueHarbor Logistics Marketplace Preview Workflow Proposal 2026-04-30</w:t>
      </w:r>
    </w:p>
    <w:p>
      <w:pPr>
        <w:pStyle w:val="Heading1"/>
      </w:pPr>
      <w:r>
        <w:t>Summary</w:t>
      </w:r>
    </w:p>
    <w:p>
      <w:r>
        <w:t>This sample begins with a regional rollout constraint: Singapore support capacity, Austin partner timing, and Seoul legal review had to be reconciled in one evidence trail. Evidence marker NF-4620; customer=BlueHarbor Logistics; industry=regional logistics; product=Marketplace Preview; companion_product=DocuLens AI; office_scope=Seoul HQ, Singapore customer success office, and Austin partnership desk.</w:t>
      </w:r>
    </w:p>
    <w:p>
      <w:r>
        <w:t>Concrete use case: BlueHarbor Logistics will connect renewal packets, security questions, and approval queues to exact source paragraphs. Expected ROI is 14% within two quarters.</w:t>
      </w:r>
    </w:p>
    <w:p>
      <w:pPr>
        <w:pStyle w:val="Heading1"/>
      </w:pPr>
      <w:r>
        <w:t>Industry Fit</w:t>
      </w:r>
    </w:p>
    <w:p>
      <w:r>
        <w:t>regional logistics teams need lower reconciliation load, clearer reviewer ownership, and auditable decision trails while DocuLens AI supplies adjacent reporting context.</w:t>
      </w:r>
    </w:p>
    <w:p>
      <w:pPr>
        <w:pStyle w:val="Heading1"/>
      </w:pPr>
      <w:r>
        <w:t>Rollout</w:t>
      </w:r>
    </w:p>
    <w:p>
      <w:r>
        <w:t>Phase 1 maps access and templates; Phase 2 imports live workflows; Phase 3 measures adoption, exception aging, and revenue impact.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