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citation-b2afd8, clause-fd8d10, readiness-d10b7f, owner-b7f322, queue-322ddd, margin-ddd946, deadline-9464f7, budget-4f7e0a, budget-e0a814, evidence-81407a, queue-07a7eb, finance-7eb322, control-322695, control-6953c9, forecast-3c9b19, enablement-b19385, account-38520a, executive-20ac55, engineering-c55bbd, product-bbd01a, finance-01ad, legal-d, adoption-afd8d1, executive-8d10b7, variance-0b7f32, legal-f322dd, milestone-2ddd94, policy-d9464f, account-64f7e0, audit-7e0a81, executive-a81407, variance-407a7e, source-a7eb32, clause-b32269, citation-26953c, exception-53c9b1. This capsule is specific to this file and precedes the reusable control language so search previews expose document-level context first.</w:t>
      </w:r>
    </w:p>
    <w:p>
      <w:pPr>
        <w:pStyle w:val="Title"/>
      </w:pPr>
      <w:r>
        <w:t>Marketplace Preview Operating Meeting Summit BioLabs 2026-01-31</w:t>
      </w:r>
    </w:p>
    <w:p>
      <w:pPr>
        <w:pStyle w:val="Heading1"/>
      </w:pPr>
      <w:r>
        <w:t>Summary</w:t>
      </w:r>
    </w:p>
    <w:p>
      <w:r>
        <w:t>The sample supports search validation by repeating core company facts only after presenting a unique customer scenario and category-specific control language. Evidence marker NF-4463; customer=Summit BioLabs; industry=biotech; product=Marketplace Preview; companion_product=DocuLens AI; office_scope=Seoul HQ, Singapore customer success office, and Austin partnership desk.</w:t>
      </w:r>
    </w:p>
    <w:p>
      <w:r>
        <w:t>meeting_date: 2026-01-31. attendees: Priya Nair, VP Revenue; Eunji Lee, Head of People; Marcus Hill, Director of Security; Sofia Tan, Regional Lead Singapore; Rachel Morgan, Austin Partnerships Lead; Taeho Lim, Finance Controller; Minseo Park, CEO. agenda items: adoption trend, unresolved exceptions, DocuLens AI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Marketplace Preview checkpoint for Summit BioLabs;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Priya Nair (VP Revenue). Due: 2026-05-20. Deliver risk register grouped by Sales, CS, Product, and Engineering.</w:t>
      </w:r>
    </w:p>
    <w:p>
      <w:r>
        <w:t>Owner: Minseo Park (CEO).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