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Meeting Notes</w:t>
            </w:r>
          </w:p>
        </w:tc>
      </w:tr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30-Meetings</w:t>
            </w:r>
          </w:p>
        </w:tc>
      </w:tr>
      <w:tr>
        <w:tc>
          <w:tcPr>
            <w:tcW w:type="dxa" w:w="4320"/>
          </w:tcPr>
          <w:p>
            <w:r>
              <w:t>Tags</w:t>
            </w:r>
          </w:p>
        </w:tc>
        <w:tc>
          <w:tcPr>
            <w:tcW w:type="dxa" w:w="4320"/>
          </w:tcPr>
          <w:p>
            <w:r>
              <w:t>nuriflow, 30-meetings, meeting-notes</w:t>
            </w:r>
          </w:p>
        </w:tc>
      </w:tr>
      <w:tr>
        <w:tc>
          <w:tcPr>
            <w:tcW w:type="dxa" w:w="4320"/>
          </w:tcPr>
          <w:p>
            <w:r>
              <w:t>Created Date</w:t>
            </w:r>
          </w:p>
        </w:tc>
        <w:tc>
          <w:tcPr>
            <w:tcW w:type="dxa" w:w="4320"/>
          </w:tcPr>
          <w:p>
            <w:r>
              <w:t>2026-01-31</w:t>
            </w:r>
          </w:p>
        </w:tc>
      </w:tr>
      <w:tr>
        <w:tc>
          <w:tcPr>
            <w:tcW w:type="dxa" w:w="4320"/>
          </w:tcPr>
          <w:p>
            <w:r>
              <w:t>Author / Owner</w:t>
            </w:r>
          </w:p>
        </w:tc>
        <w:tc>
          <w:tcPr>
            <w:tcW w:type="dxa" w:w="4320"/>
          </w:tcPr>
          <w:p>
            <w:r>
              <w:t>Business Operations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approved</w:t>
            </w:r>
          </w:p>
        </w:tc>
      </w:tr>
    </w:tbl>
    <w:p>
      <w:r>
        <w:t>Evidence capsule for anti-boilerplate review: reviewer-68b951, exception-951056, margin-0566d1, readiness-6d162c, exception-62ceb8, reviewer-eb8335, reviewer-335551, readiness-551042, partner-042135, control-1353ba, product-3ba64b, readiness-64b62d, owner-62d8eb, control-8ebd87, finance-d8733f, account-33fda0, engineering-da09f0, legal-9f00e2, regional-0e2cd5, customer-cd553c, legal-53cd, finance-d, engineering-b95105, security-10566d, security-66d162, account-162ceb, enablement-ceb833, enablement-833555, support-555104, scope-104213, audit-21353b, source-53ba64, source-a64b62, renewal-b62d8e, variance-d8ebd8, exception-bd8733. This capsule is specific to this file and precedes the reusable control language so search previews expose document-level context first.</w:t>
      </w:r>
    </w:p>
    <w:p>
      <w:pPr>
        <w:pStyle w:val="Title"/>
      </w:pPr>
      <w:r>
        <w:t>InsightBridge Operating Meeting Radius Legal 2026-01-31</w:t>
      </w:r>
    </w:p>
    <w:p>
      <w:pPr>
        <w:pStyle w:val="Heading1"/>
      </w:pPr>
      <w:r>
        <w:t>Summary</w:t>
      </w:r>
    </w:p>
    <w:p>
      <w:r>
        <w:t>The file was written for an internal audit walkthrough, so it emphasizes version history, policy ownership, and source-of-truth discipline from the first paragraph. Evidence marker NF-0699; customer=Radius Legal; industry=legal services; product=InsightBridge; companion_product=Marketplace Preview; office_scope=Seoul HQ, Singapore customer success office, and Austin partnership desk.</w:t>
      </w:r>
    </w:p>
    <w:p>
      <w:r>
        <w:t>meeting_date: 2026-01-31. attendees: Sofia Tan, Regional Lead Singapore; Rachel Morgan, Austin Partnerships Lead; Taeho Lim, Finance Controller; Minseo Park, CEO; Jae Kim, VP Product. agenda items: adoption trend, unresolved exceptions, Marketplace Preview dependency, customer-facing commitments, and readiness for next review.</w:t>
      </w:r>
    </w:p>
    <w:p>
      <w:pPr>
        <w:pStyle w:val="Heading1"/>
      </w:pPr>
      <w:r>
        <w:t>Decisions</w:t>
      </w:r>
    </w:p>
    <w:p>
      <w:r>
        <w:t>Approved a InsightBridge checkpoint for Radius Legal; deferred broad automation messaging until citation quality and reviewer accountability remain above threshold.</w:t>
      </w:r>
    </w:p>
    <w:p>
      <w:pPr>
        <w:pStyle w:val="Heading1"/>
      </w:pPr>
      <w:r>
        <w:t>Action Items</w:t>
      </w:r>
    </w:p>
    <w:p>
      <w:r>
        <w:t>Owner: Sofia Tan (Regional Lead Singapore). Due: 2026-05-20. Deliver risk register grouped by Sales, CS, Product, and Engineering.</w:t>
      </w:r>
    </w:p>
    <w:p>
      <w:r>
        <w:t>Owner: Jae Kim (VP Product). Due: 2026-06-03. Publish next meeting packet. Next meeting: 2026-06-10 10:00 KST.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