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2025-08-31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launch-4c9f10, margin-f10de7, citation-de7a75, owner-a75be5, source-be5045, source-045bcf, deadline-bcf59c, regional-59c657, control-657804, deadline-804eac, queue-eac6eb, forecast-6eb0f3, product-0f32c2, engineering-2c20a5, deadline-0a540e, control-40e3e2, evidence-3e29b6, customer-9b6383, account-3830b5, support-0b58e1, policy-8e1f, finance-f, support-9f10de, policy-0de7a7, executive-7a75be, executive-5be504, audit-5045bc, policy-5bcf59, enablement-f59c65, audit-c65780, latency-7804ea, launch-4eac6e, latency-c6eb0f, renewal-b0f32c, citation-32c20a, exception-20a540. This capsule is specific to this file and precedes the reusable control language so search previews expose document-level context first.</w:t>
      </w:r>
    </w:p>
    <w:p>
      <w:pPr>
        <w:pStyle w:val="Title"/>
      </w:pPr>
      <w:r>
        <w:t>Hanbit Manufacturing InsightBridge Monthly KPI Report 2025-08-31</w:t>
      </w:r>
    </w:p>
    <w:p>
      <w:pPr>
        <w:pStyle w:val="Heading1"/>
      </w:pPr>
      <w:r>
        <w:t>Summary</w:t>
      </w:r>
    </w:p>
    <w:p>
      <w:r>
        <w:t>The file opens from a customer escalation review rather than a template queue; the owner captured exact source paragraphs before any commercial language was drafted. Evidence marker NF-9320; customer=Hanbit Manufacturing; industry=advanced manufacturing; product=InsightBridge; companion_product=Marketplace Preview; office_scope=Seoul HQ, Singapore customer success office, and Austin partnership desk.</w:t>
      </w:r>
    </w:p>
    <w:p>
      <w:r>
        <w:t>Monthly KPI changes: InsightBridge pipeline quality improved 11% while Marketplace Preview reduced unresolved workflow delays by 4%.</w:t>
      </w:r>
    </w:p>
    <w:p>
      <w:pPr>
        <w:pStyle w:val="Heading1"/>
      </w:pPr>
      <w:r>
        <w:t>Department Breakdown</w:t>
      </w:r>
    </w:p>
    <w:p>
      <w:r>
        <w:t>Sales: USD 1.6M qualified expansion. CS: 84% onboarding milestone completion. Product: 72% weekly active admin usage. Engineering: p95 sync latency under 962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