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launch-4dea0e, partner-a0e8f5, forecast-8f57e4, margin-7e4fc6, launch-fc6310, deadline-310dd7, partner-dd7244, customer-244b21, margin-b21080, forecast-080407, security-407349, control-349711, engineering-711b28, legal-b28023, evidence-0235b0, owner-5b0a63, queue-a632eb, queue-2eb4ad, support-4ad0f9, template-0f9d27, engineering-d273, product-3, finance-ea0e8f, engineering-e8f57e, policy-57e4fc, engineering-4fc631, engineering-6310dd, engineering-0dd724, milestone-7244b2, account-4b2108, scope-108040, support-040734, renewal-734971, milestone-9711b2, variance-1b2802, latency-80235b. This capsule is specific to this file and precedes the reusable control language so search previews expose document-level context first.</w:t>
      </w:r>
    </w:p>
    <w:p>
      <w:pPr>
        <w:pStyle w:val="Title"/>
      </w:pPr>
      <w:r>
        <w:t>BlueHarbor Logistics DocuLens AI Monthly KPI Report 2025-08-31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NF-1423; customer=BlueHarbor Logistics; industry=regional logistics; product=DocuLens AI; companion_product=LaunchOps; office_scope=Seoul HQ, Singapore customer success office, and Austin partnership desk.</w:t>
      </w:r>
    </w:p>
    <w:p>
      <w:r>
        <w:t>Monthly KPI changes: DocuLens AI pipeline quality improved 3% while LaunchOps reduced unresolved workflow delays by 2%.</w:t>
      </w:r>
    </w:p>
    <w:p>
      <w:pPr>
        <w:pStyle w:val="Heading1"/>
      </w:pPr>
      <w:r>
        <w:t>Department Breakdown</w:t>
      </w:r>
    </w:p>
    <w:p>
      <w:r>
        <w:t>Sales: USD 2.0M qualified expansion. CS: 82% onboarding milestone completion. Product: 64% weekly active admin usage. Engineering: p95 sync latency under 936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