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Operating Report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40-Reports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40-reports, operating-report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2025-08-31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margin-d22f9d, clause-f9deba, launch-ebae47, owner-e47d70, margin-d70fad, owner-fadbd2, evidence-bd206a, owner-06a732, owner-732238, product-238294, partner-29495c, owner-95cdbc, legal-dbc0f0, evidence-0f0842, partner-8429f1, executive-9f1a47, finance-a4724c, executive-24c16b, account-16b956, template-956a7f, customer-a7f0, regional-0, enablement-2f9deb, audit-debae4, support-ae47d7, enablement-7d70fa, enablement-0fadbd, account-dbd206, support-206a73, adoption-a73223, template-223829, clause-829495, milestone-495cdb, source-cdbc0f, renewal-c0f084, workflow-08429f. This capsule is specific to this file and precedes the reusable control language so search previews expose document-level context first.</w:t>
      </w:r>
    </w:p>
    <w:p>
      <w:pPr>
        <w:pStyle w:val="Title"/>
      </w:pPr>
      <w:r>
        <w:t>Mirae Health Network Marketplace Preview Monthly KPI Report 2025-08-31</w:t>
      </w:r>
    </w:p>
    <w:p>
      <w:pPr>
        <w:pStyle w:val="Heading1"/>
      </w:pPr>
      <w:r>
        <w:t>Summary</w:t>
      </w:r>
    </w:p>
    <w:p>
      <w:r>
        <w:t>The document records a late-stage executive question about measurable adoption, so the first page emphasizes proof, owner names, and decision timing. Evidence marker NF-0562; customer=Mirae Health Network; industry=healthcare operations; product=Marketplace Preview; companion_product=DocuLens AI; office_scope=Seoul HQ, Singapore customer success office, and Austin partnership desk.</w:t>
      </w:r>
    </w:p>
    <w:p>
      <w:r>
        <w:t>Monthly KPI changes: Marketplace Preview pipeline quality improved 11% while DocuLens AI reduced unresolved workflow delays by 4%.</w:t>
      </w:r>
    </w:p>
    <w:p>
      <w:pPr>
        <w:pStyle w:val="Heading1"/>
      </w:pPr>
      <w:r>
        <w:t>Department Breakdown</w:t>
      </w:r>
    </w:p>
    <w:p>
      <w:r>
        <w:t>Sales: USD 1.7M qualified expansion. CS: 84% onboarding milestone completion. Product: 72% weekly active admin usage. Engineering: p95 sync latency under 974 ms.</w:t>
      </w:r>
    </w:p>
    <w:p>
      <w:pPr>
        <w:pStyle w:val="Heading1"/>
      </w:pPr>
      <w:r>
        <w:t>Management Actions</w:t>
      </w:r>
    </w:p>
    <w:p>
      <w:r>
        <w:t>Revenue Operations compares forecast quality against source evidence; Product and Engineering separate launch copy from verified architecture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