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Operating Report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40-Reports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40-reports, operating-report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2025-08-31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citation-b5ea24, reviewer-a24cc0, forecast-cc06ca, margin-6ca6e9, reviewer-6e96c3, exception-6c3a6d, owner-a6daa3, deadline-aa3451, budget-4514f8, control-4f841d, customer-41d746, regional-74664b, owner-64bb95, engineering-b95311, product-31139d, regional-39dc3d, enablement-c3dd22, evidence-d223a4, enablement-3a4463, legal-463629, audit-629b, support-b, template-ea24cc, finance-4cc06c, enablement-06ca6e, executive-a6e96c, engineering-96c3a6, support-3a6daa, reviewer-daa345, adoption-34514f, scope-14f841, template-841d74, budget-d74664, clause-664bb9, variance-bb9531, launch-531139. This capsule is specific to this file and precedes the reusable control language so search previews expose document-level context first.</w:t>
      </w:r>
    </w:p>
    <w:p>
      <w:pPr>
        <w:pStyle w:val="Title"/>
      </w:pPr>
      <w:r>
        <w:t>Northstar Finance InsightBridge Monthly KPI Report 2025-08-31</w:t>
      </w:r>
    </w:p>
    <w:p>
      <w:pPr>
        <w:pStyle w:val="Heading1"/>
      </w:pPr>
      <w:r>
        <w:t>Summary</w:t>
      </w:r>
    </w:p>
    <w:p>
      <w:r>
        <w:t>The source packet came from a renewal-risk conversation where scattered Slack notes, uploaded contracts, and spreadsheet exceptions were consolidated into one accountable narrative. Evidence marker NF-0511; customer=Northstar Finance; industry=financial services; product=InsightBridge; companion_product=Marketplace Preview; office_scope=Seoul HQ, Singapore customer success office, and Austin partnership desk.</w:t>
      </w:r>
    </w:p>
    <w:p>
      <w:r>
        <w:t>Monthly KPI changes: InsightBridge pipeline quality improved 4% while Marketplace Preview reduced unresolved workflow delays by 6%.</w:t>
      </w:r>
    </w:p>
    <w:p>
      <w:pPr>
        <w:pStyle w:val="Heading1"/>
      </w:pPr>
      <w:r>
        <w:t>Department Breakdown</w:t>
      </w:r>
    </w:p>
    <w:p>
      <w:r>
        <w:t>Sales: USD 2.0M qualified expansion. CS: 92% onboarding milestone completion. Product: 74% weekly active admin usage. Engineering: p95 sync latency under 1102 ms.</w:t>
      </w:r>
    </w:p>
    <w:p>
      <w:pPr>
        <w:pStyle w:val="Heading1"/>
      </w:pPr>
      <w:r>
        <w:t>Management Actions</w:t>
      </w:r>
    </w:p>
    <w:p>
      <w:r>
        <w:t>Revenue Operations compares forecast quality against source evidence; Product and Engineering separate launch copy from verified architecture commitments.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