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2025-08-31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source-56a57d, latency-57df44, readiness-f44eb0, budget-eb040d, citation-40d6db, owner-6db9eb, regional-9eba61, citation-a613a4, readiness-3a4e3d, product-e3dd62, regional-d622f9, citation-2f9137, forecast-1373d3, margin-3d3358, engineering-358cb0, regional-cb0bae, account-bae5fc, enablement-5fcbd2, engineering-bd2482, audit-482b98, support-b984, support-4, enablement-a57df4, security-df44eb, engineering-4eb040, policy-040d6d, executive-d6db9e, launch-b9eba6, support-ba613a, source-13a4e3, reviewer-4e3dd6, adoption-dd622f, scope-22f913, policy-91373d, readiness-73d335, latency-3358cb. This capsule is specific to this file and precedes the reusable control language so search previews expose document-level context first.</w:t>
      </w:r>
    </w:p>
    <w:p>
      <w:pPr>
        <w:pStyle w:val="Title"/>
      </w:pPr>
      <w:r>
        <w:t>K-Supply Retail InsightBridge Monthly KPI Report 2025-08-31</w:t>
      </w:r>
    </w:p>
    <w:p>
      <w:pPr>
        <w:pStyle w:val="Heading1"/>
      </w:pPr>
      <w:r>
        <w:t>Summary</w:t>
      </w:r>
    </w:p>
    <w:p>
      <w:r>
        <w:t>The drafting team treated this as a launch-readiness artifact: every commitment below maps to a reviewer, due date, and customer-visible operational effect. Evidence marker NF-9362; customer=K-Supply Retail; industry=omnichannel retail; product=InsightBridge; companion_product=Marketplace Preview; office_scope=Seoul HQ, Singapore customer success office, and Austin partnership desk.</w:t>
      </w:r>
    </w:p>
    <w:p>
      <w:r>
        <w:t>Monthly KPI changes: InsightBridge pipeline quality improved 6% while Marketplace Preview reduced unresolved workflow delays by 5%.</w:t>
      </w:r>
    </w:p>
    <w:p>
      <w:pPr>
        <w:pStyle w:val="Heading1"/>
      </w:pPr>
      <w:r>
        <w:t>Department Breakdown</w:t>
      </w:r>
    </w:p>
    <w:p>
      <w:r>
        <w:t>Sales: USD 2.0M qualified expansion. CS: 91% onboarding milestone completion. Product: 67% weekly active admin usage. Engineering: p95 sync latency under 1077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