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Operating Report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40-Reports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40-reports, operating-report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2025-08-31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readiness-c2a07b, clause-07b7d2, readiness-7d2ec1, clause-ec187c, citation-87c625, forecast-62528d, margin-28d16c, evidence-16cb8c, workflow-b8ccb7, product-cb776b, customer-76b1c9, readiness-1c98ca, evidence-8cafa2, evidence-fa24f8, finance-4f8797, regional-797c5a, owner-c5a6fe, customer-6fe6df, evidence-6dfdbb, engineering-dbbdd3, audit-dd34, customer-4, enablement-a07b7d, policy-b7d2ec, policy-2ec187, audit-187c62, variance-c62528, renewal-528d16, renewal-d16cb8, milestone-cb8ccb, adoption-ccb776, adoption-776b1c, reviewer-b1c98c, scope-98cafa, exception-afa24f, latency-24f879. This capsule is specific to this file and precedes the reusable control language so search previews expose document-level context first.</w:t>
      </w:r>
    </w:p>
    <w:p>
      <w:pPr>
        <w:pStyle w:val="Title"/>
      </w:pPr>
      <w:r>
        <w:t>Aster Public Services DocuLens AI Monthly KPI Report 2025-08-31</w:t>
      </w:r>
    </w:p>
    <w:p>
      <w:pPr>
        <w:pStyle w:val="Heading1"/>
      </w:pPr>
      <w:r>
        <w:t>Summary</w:t>
      </w:r>
    </w:p>
    <w:p>
      <w:r>
        <w:t>This version was prepared after a security objection, so the opening language names the control surface before discussing product benefits or timeline. Evidence marker NF-0626; customer=Aster Public Services; industry=public sector; product=DocuLens AI; companion_product=LaunchOps; office_scope=Seoul HQ, Singapore customer success office, and Austin partnership desk.</w:t>
      </w:r>
    </w:p>
    <w:p>
      <w:r>
        <w:t>Monthly KPI changes: DocuLens AI pipeline quality improved 3% while LaunchOps reduced unresolved workflow delays by 5%.</w:t>
      </w:r>
    </w:p>
    <w:p>
      <w:pPr>
        <w:pStyle w:val="Heading1"/>
      </w:pPr>
      <w:r>
        <w:t>Department Breakdown</w:t>
      </w:r>
    </w:p>
    <w:p>
      <w:r>
        <w:t>Sales: USD 1.7M qualified expansion. CS: 85% onboarding milestone completion. Product: 73% weekly active admin usage. Engineering: p95 sync latency under 1131 ms.</w:t>
      </w:r>
    </w:p>
    <w:p>
      <w:pPr>
        <w:pStyle w:val="Heading1"/>
      </w:pPr>
      <w:r>
        <w:t>Management Actions</w:t>
      </w:r>
    </w:p>
    <w:p>
      <w:r>
        <w:t>Revenue Operations compares forecast quality against source evidence; Product and Engineering separate launch copy from verified architecture commitments.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