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Operating Report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40-Reports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40-reports, operating-report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2025-08-31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Revenue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renewal-25d201, reviewer-201bfc, control-bfc654, source-65440a, launch-40ae2c, reviewer-e2c75a, queue-75abf9, customer-bf955b, evidence-55b5ca, control-5ca2f8, control-2f8224, control-224e8f, forecast-e8fdcd, margin-dcdc39, security-c3905f, account-05fd6d, owner-d6d5e0, account-5e01f0, legal-1f0672, security-672255, executive-255f, template-f, adoption-d201bf, template-1bfc65, account-c65440, executive-440ae2, adoption-ae2c75, template-c75abf, clause-abf955, renewal-955b5c, template-b5ca2f, exception-a2f822, clause-8224e8, policy-4e8fdc, milestone-fdcdc3, renewal-dc3905. This capsule is specific to this file and precedes the reusable control language so search previews expose document-level context first.</w:t>
      </w:r>
    </w:p>
    <w:p>
      <w:pPr>
        <w:pStyle w:val="Title"/>
      </w:pPr>
      <w:r>
        <w:t>Lumen Education Group InsightBridge Monthly KPI Report 2025-08-31</w:t>
      </w:r>
    </w:p>
    <w:p>
      <w:pPr>
        <w:pStyle w:val="Heading1"/>
      </w:pPr>
      <w:r>
        <w:t>Summary</w:t>
      </w:r>
    </w:p>
    <w:p>
      <w:r>
        <w:t>The sample is written from the customer success desk: stalled approvals, unclear owners, and missing source citations are the practical problems being solved. Evidence marker NF-0060; customer=Lumen Education Group; industry=education; product=InsightBridge; companion_product=Marketplace Preview; office_scope=Seoul HQ, Singapore customer success office, and Austin partnership desk.</w:t>
      </w:r>
    </w:p>
    <w:p>
      <w:r>
        <w:t>Monthly KPI changes: InsightBridge pipeline quality improved 4% while Marketplace Preview reduced unresolved workflow delays by 3%.</w:t>
      </w:r>
    </w:p>
    <w:p>
      <w:pPr>
        <w:pStyle w:val="Heading1"/>
      </w:pPr>
      <w:r>
        <w:t>Department Breakdown</w:t>
      </w:r>
    </w:p>
    <w:p>
      <w:r>
        <w:t>Sales: USD 1.6M qualified expansion. CS: 89% onboarding milestone completion. Product: 65% weekly active admin usage. Engineering: p95 sync latency under 1087 ms.</w:t>
      </w:r>
    </w:p>
    <w:p>
      <w:pPr>
        <w:pStyle w:val="Heading1"/>
      </w:pPr>
      <w:r>
        <w:t>Management Actions</w:t>
      </w:r>
    </w:p>
    <w:p>
      <w:r>
        <w:t>Revenue Operations compares forecast quality against source evidence; Product and Engineering separate launch copy from verified architecture commitments.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