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2025-08-31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citation-bda071, partner-071b76, readiness-b76cc7, clause-cc7dcc, citation-dccfe2, reviewer-fe22a5, queue-2a5859, partner-859a00, partner-a00432, regional-432af6, customer-af6654, owner-654558, legal-558689, legal-689076, finance-076c83, executive-c83faf, executive-faf5b8, deadline-5b8a51, evidence-a51de8, account-de8335, legal-3359, account-9, engineering-a071b7, template-1b76cc, scope-6cc7dc, legal-7dccfe, finance-cfe22a, support-22a585, support-5859a0, support-9a0043, clause-0432af, exception-2af665, variance-665455, renewal-455868, renewal-868907, renewal-9076c8. This capsule is specific to this file and precedes the reusable control language so search previews expose document-level context first.</w:t>
      </w:r>
    </w:p>
    <w:p>
      <w:pPr>
        <w:pStyle w:val="Title"/>
      </w:pPr>
      <w:r>
        <w:t>Daehan Mobility Marketplace Preview Monthly KPI Report 2025-08-31</w:t>
      </w:r>
    </w:p>
    <w:p>
      <w:pPr>
        <w:pStyle w:val="Heading1"/>
      </w:pPr>
      <w:r>
        <w:t>Summary</w:t>
      </w:r>
    </w:p>
    <w:p>
      <w:r>
        <w:t>The first review came from People Operations, which forced the author to separate manager accountability, policy compliance, and product workflow evidence. Evidence marker NF-2917; customer=Daehan Mobility; industry=transportation; product=Marketplace Preview; companion_product=DocuLens AI; office_scope=Seoul HQ, Singapore customer success office, and Austin partnership desk.</w:t>
      </w:r>
    </w:p>
    <w:p>
      <w:r>
        <w:t>Monthly KPI changes: Marketplace Preview pipeline quality improved 4% while DocuLens AI reduced unresolved workflow delays by 6%.</w:t>
      </w:r>
    </w:p>
    <w:p>
      <w:pPr>
        <w:pStyle w:val="Heading1"/>
      </w:pPr>
      <w:r>
        <w:t>Department Breakdown</w:t>
      </w:r>
    </w:p>
    <w:p>
      <w:r>
        <w:t>Sales: USD 1.6M qualified expansion. CS: 86% onboarding milestone completion. Product: 74% weekly active admin usage. Engineering: p95 sync latency under 1144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