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Operating Report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40-Reports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40-reports, operating-report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2025-08-31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Revenue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latency-7714dc, budget-4dcf9e, clause-f9eee3, latency-ee3617, queue-617e66, queue-e664c8, regional-4c8c05, forecast-c0545a, customer-45a751, product-751d3a, security-d3a4fa, partner-4faef9, owner-ef92da, partner-2da91d, regional-91d04e, account-04e88a, customer-88a516, product-516706, customer-706cfe, support-cfe739, enablement-7392, audit-2, customer-14dcf9, enablement-cf9eee, enablement-eee361, executive-3617e6, milestone-7e664c, scope-64c8c0, audit-8c0545, executive-545a75, reviewer-a751d3, scope-1d3a4f, source-a4faef, adoption-aef92d, readiness-92da91, budget-a91d04. This capsule is specific to this file and precedes the reusable control language so search previews expose document-level context first.</w:t>
      </w:r>
    </w:p>
    <w:p>
      <w:pPr>
        <w:pStyle w:val="Title"/>
      </w:pPr>
      <w:r>
        <w:t>Atlas Biotech InsightBridge Monthly KPI Report 2025-08-31</w:t>
      </w:r>
    </w:p>
    <w:p>
      <w:pPr>
        <w:pStyle w:val="Heading1"/>
      </w:pPr>
      <w:r>
        <w:t>Summary</w:t>
      </w:r>
    </w:p>
    <w:p>
      <w:r>
        <w:t>The partner team requested a shorter approval path; this file documents the safeguards that keep speed from bypassing Legal, Security, or Product review. Evidence marker NF-1886; customer=Atlas Biotech; industry=life sciences; product=InsightBridge; companion_product=Marketplace Preview; office_scope=Seoul HQ, Singapore customer success office, and Austin partnership desk.</w:t>
      </w:r>
    </w:p>
    <w:p>
      <w:r>
        <w:t>Monthly KPI changes: InsightBridge pipeline quality improved 3% while Marketplace Preview reduced unresolved workflow delays by 5%.</w:t>
      </w:r>
    </w:p>
    <w:p>
      <w:pPr>
        <w:pStyle w:val="Heading1"/>
      </w:pPr>
      <w:r>
        <w:t>Department Breakdown</w:t>
      </w:r>
    </w:p>
    <w:p>
      <w:r>
        <w:t>Sales: USD 2.0M qualified expansion. CS: 85% onboarding milestone completion. Product: 73% weekly active admin usage. Engineering: p95 sync latency under 1047 ms.</w:t>
      </w:r>
    </w:p>
    <w:p>
      <w:pPr>
        <w:pStyle w:val="Heading1"/>
      </w:pPr>
      <w:r>
        <w:t>Management Actions</w:t>
      </w:r>
    </w:p>
    <w:p>
      <w:r>
        <w:t>Revenue Operations compares forecast quality against source evidence; Product and Engineering separate launch copy from verified architecture commitments.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