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Operating Report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40-Reports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40-reports, operating-report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2025-08-31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launch-448db1, source-db1c83, workflow-c8302c, forecast-02c3bf, control-3bfeb5, reviewer-eb55c1, owner-5c157e, control-57ed56, citation-d56b18, exception-b1852f, readiness-52fe96, product-e96d94, control-d94176, security-176635, account-6351bb, account-1bbcd6, engineering-cd6f84, customer-f84947, product-947f4c, support-f4c3ef, regional-3ef0, finance-0, account-8db1c8, adoption-1c8302, adoption-302c3b, executive-c3bfeb, template-feb55c, variance-55c157, account-157ed5, adoption-ed56b1, policy-6b1852, audit-852fe9, workflow-fe96d9, workflow-6d9417, reviewer-417663, launch-66351b. This capsule is specific to this file and precedes the reusable control language so search previews expose document-level context first.</w:t>
      </w:r>
    </w:p>
    <w:p>
      <w:pPr>
        <w:pStyle w:val="Title"/>
      </w:pPr>
      <w:r>
        <w:t>Orchid Robotics InsightBridge Monthly KPI Report 2025-08-31</w:t>
      </w:r>
    </w:p>
    <w:p>
      <w:pPr>
        <w:pStyle w:val="Heading1"/>
      </w:pPr>
      <w:r>
        <w:t>Summary</w:t>
      </w:r>
    </w:p>
    <w:p>
      <w:r>
        <w:t>The account team used this artifact to settle a disagreement about scope, replacing generic boilerplate with concrete acceptance criteria and named operational owners. Evidence marker NF-7605; customer=Orchid Robotics; industry=industrial automation; product=InsightBridge; companion_product=Marketplace Preview; office_scope=Seoul HQ, Singapore customer success office, and Austin partnership desk.</w:t>
      </w:r>
    </w:p>
    <w:p>
      <w:r>
        <w:t>Monthly KPI changes: InsightBridge pipeline quality improved 11% while Marketplace Preview reduced unresolved workflow delays by 4%.</w:t>
      </w:r>
    </w:p>
    <w:p>
      <w:pPr>
        <w:pStyle w:val="Heading1"/>
      </w:pPr>
      <w:r>
        <w:t>Department Breakdown</w:t>
      </w:r>
    </w:p>
    <w:p>
      <w:r>
        <w:t>Sales: USD 1.7M qualified expansion. CS: 90% onboarding milestone completion. Product: 72% weekly active admin usage. Engineering: p95 sync latency under 932 ms.</w:t>
      </w:r>
    </w:p>
    <w:p>
      <w:pPr>
        <w:pStyle w:val="Heading1"/>
      </w:pPr>
      <w:r>
        <w:t>Management Actions</w:t>
      </w:r>
    </w:p>
    <w:p>
      <w:r>
        <w:t>Revenue Operations compares forecast quality against source evidence; Product and Engineering separate launch copy from verified architecture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