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2025-08-31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readiness-c9d606, workflow-606e50, control-e503d1, exception-3d103a, launch-03aa8f, citation-a8f967, evidence-967aa5, readiness-aa5a8c, budget-a8c149, readiness-14952d, product-52d5e6, readiness-5e62c8, readiness-2c865c, forecast-65c0ea, security-0ea31b, legal-31b7cf, security-7cfa2f, template-a2f265, engineering-265d76, legal-d76f24, engineering-f24b, support-b, template-d606e5, enablement-6e503d, scope-03d103, audit-103aa8, variance-aa8f96, enablement-f967aa, template-7aa5a8, variance-5a8c14, policy-c14952, audit-952d5e, budget-d5e62c, variance-62c865, citation-865c0e, launch-c0ea31. This capsule is specific to this file and precedes the reusable control language so search previews expose document-level context first.</w:t>
      </w:r>
    </w:p>
    <w:p>
      <w:pPr>
        <w:pStyle w:val="Title"/>
      </w:pPr>
      <w:r>
        <w:t>Pine Street Capital FlowDesk Monthly KPI Report 2025-08-31</w:t>
      </w:r>
    </w:p>
    <w:p>
      <w:pPr>
        <w:pStyle w:val="Heading1"/>
      </w:pPr>
      <w:r>
        <w:t>Summary</w:t>
      </w:r>
    </w:p>
    <w:p>
      <w:r>
        <w:t>This sample starts with a data-retention concern because the customer needed confidence that every extracted fact could be traced to a reviewed paragraph. Evidence marker NF-6151; customer=Pine Street Capital; industry=private markets; product=FlowDesk; companion_product=InsightBridge; office_scope=Seoul HQ, Singapore customer success office, and Austin partnership desk.</w:t>
      </w:r>
    </w:p>
    <w:p>
      <w:r>
        <w:t>Monthly KPI changes: FlowDesk pipeline quality improved 3% while InsightBridge reduced unresolved workflow delays by 5%.</w:t>
      </w:r>
    </w:p>
    <w:p>
      <w:pPr>
        <w:pStyle w:val="Heading1"/>
      </w:pPr>
      <w:r>
        <w:t>Department Breakdown</w:t>
      </w:r>
    </w:p>
    <w:p>
      <w:r>
        <w:t>Sales: USD 1.8M qualified expansion. CS: 91% onboarding milestone completion. Product: 73% weekly active admin usage. Engineering: p95 sync latency under 1125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