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latency-769d49, latency-d497cf, citation-7cf61d, forecast-61d346, budget-3461f0, partner-1f07dd, margin-7ddee8, deadline-ee87df, product-7dfe61, control-e61871, citation-8715c8, security-5c831e, control-31e934, queue-934b82, evidence-b8209d, forecast-09de86, support-e86cea, queue-cea898, legal-8981b3, template-1b391e, audit-91ee, policy-e, milestone-9d497c, support-97cf61, support-f61d34, variance-d3461f, launch-61f07d, launch-07ddee, scope-dee87d, executive-87dfe6, variance-fe6187, variance-18715c, audit-15c831, variance-831e93, exception-e934b8, reviewer-4b8209. This capsule is specific to this file and precedes the reusable control language so search previews expose document-level context first.</w:t>
      </w:r>
    </w:p>
    <w:p>
      <w:pPr>
        <w:pStyle w:val="Title"/>
      </w:pPr>
      <w:r>
        <w:t>MetroLearn LaunchOps Monthly KPI Report 2026-02-28</w:t>
      </w:r>
    </w:p>
    <w:p>
      <w:pPr>
        <w:pStyle w:val="Heading1"/>
      </w:pPr>
      <w:r>
        <w:t>Summary</w:t>
      </w:r>
    </w:p>
    <w:p>
      <w:r>
        <w:t>The text was tailored for a regulated buyer who asked for clear exception handling before discussing rollout dates, training plans, or expansion economics. Evidence marker NF-2420; customer=MetroLearn; industry=education technology; product=LaunchOps; companion_product=FlowDesk; office_scope=Seoul HQ, Singapore customer success office, and Austin partnership desk.</w:t>
      </w:r>
    </w:p>
    <w:p>
      <w:r>
        <w:t>Monthly KPI changes: LaunchOps pipeline quality improved 3% while FlowDesk reduced unresolved workflow delays by 2%.</w:t>
      </w:r>
    </w:p>
    <w:p>
      <w:pPr>
        <w:pStyle w:val="Heading1"/>
      </w:pPr>
      <w:r>
        <w:t>Department Breakdown</w:t>
      </w:r>
    </w:p>
    <w:p>
      <w:r>
        <w:t>Sales: USD 2.0M qualified expansion. CS: 88% onboarding milestone completion. Product: 64% weekly active admin usage. Engineering: p95 sync latency under 978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