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renewal-2948e8, workflow-8e8a1a, reviewer-a1aa8c, citation-a8cc20, owner-c205db, margin-5db762, forecast-76215a, budget-15a5b9, owner-5b992f, deadline-92f541, owner-5411c2, product-1c26d8, security-6d81b5, control-1b5e4b, partner-e4b45e, evidence-45e3e3, account-3e3bea, enablement-bea671, legal-6714b7, legal-4b7a0c, customer-a0c7, customer-7, engineering-48e8a1, audit-8a1aa8, account-aa8cc2, milestone-cc205d, policy-05db76, milestone-b76215, executive-215a5b, latency-a5b992, policy-992f54, policy-f5411c, audit-11c26d, scope-26d81b, exception-81b5e4, adoption-5e4b45. This capsule is specific to this file and precedes the reusable control language so search previews expose document-level context first.</w:t>
      </w:r>
    </w:p>
    <w:p>
      <w:pPr>
        <w:pStyle w:val="Title"/>
      </w:pPr>
      <w:r>
        <w:t>CivicBridge Agency Marketplace Preview Monthly KPI Report 2026-02-28</w:t>
      </w:r>
    </w:p>
    <w:p>
      <w:pPr>
        <w:pStyle w:val="Heading1"/>
      </w:pPr>
      <w:r>
        <w:t>Summary</w:t>
      </w:r>
    </w:p>
    <w:p>
      <w:r>
        <w:t>The document answers a simple governance question: who decides, who verifies the source, and what happens when the workflow produces an exception. Evidence marker NF-9887; customer=CivicBridge Agency; industry=local government; product=Marketplace Preview; companion_product=DocuLens AI; office_scope=Seoul HQ, Singapore customer success office, and Austin partnership desk.</w:t>
      </w:r>
    </w:p>
    <w:p>
      <w:r>
        <w:t>Monthly KPI changes: Marketplace Preview pipeline quality improved 7% while DocuLens AI reduced unresolved workflow delays by 6%.</w:t>
      </w:r>
    </w:p>
    <w:p>
      <w:pPr>
        <w:pStyle w:val="Heading1"/>
      </w:pPr>
      <w:r>
        <w:t>Department Breakdown</w:t>
      </w:r>
    </w:p>
    <w:p>
      <w:r>
        <w:t>Sales: USD 1.9M qualified expansion. CS: 86% onboarding milestone completion. Product: 68% weekly active admin usage. Engineering: p95 sync latency under 1084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