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workflow-ad0c26, partner-c264dc, renewal-4dc4d5, control-4d5165, reviewer-165343, citation-3438a3, workflow-8a327f, evidence-27f862, evidence-862972, margin-972687, product-687ba3, forecast-ba364e, margin-64e1a0, deadline-1a0889, deadline-889fac, owner-facba2, evidence-ba22cc, evidence-2cc31d, finance-31db3f, account-b3f416, product-4168, product-8, account-0c264d, variance-64dc4d, template-c4d516, support-516534, enablement-53438a, milestone-38a327, policy-327f86, support-f86297, milestone-297268, renewal-2687ba, renewal-7ba364, latency-364e1a, latency-e1a088, variance-0889fa. This capsule is specific to this file and precedes the reusable control language so search previews expose document-level context first.</w:t>
      </w:r>
    </w:p>
    <w:p>
      <w:pPr>
        <w:pStyle w:val="Title"/>
      </w:pPr>
      <w:r>
        <w:t>Harbor Nine FlowDesk Monthly KPI Report 2026-02-28</w:t>
      </w:r>
    </w:p>
    <w:p>
      <w:pPr>
        <w:pStyle w:val="Heading1"/>
      </w:pPr>
      <w:r>
        <w:t>Summary</w:t>
      </w:r>
    </w:p>
    <w:p>
      <w:r>
        <w:t>The sample reflects a quarterly planning moment where NuriFlow had to connect product launch activity with ARR quality and customer trust. Evidence marker NF-0969; customer=Harbor Nine; industry=maritime services; product=FlowDesk; companion_product=InsightBridge; office_scope=Seoul HQ, Singapore customer success office, and Austin partnership desk.</w:t>
      </w:r>
    </w:p>
    <w:p>
      <w:r>
        <w:t>Monthly KPI changes: FlowDesk pipeline quality improved 9% while InsightBridge reduced unresolved workflow delays by 5%.</w:t>
      </w:r>
    </w:p>
    <w:p>
      <w:pPr>
        <w:pStyle w:val="Heading1"/>
      </w:pPr>
      <w:r>
        <w:t>Department Breakdown</w:t>
      </w:r>
    </w:p>
    <w:p>
      <w:r>
        <w:t>Sales: USD 1.5M qualified expansion. CS: 85% onboarding milestone completion. Product: 79% weekly active admin usage. Engineering: p95 sync latency under 1035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