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Operating Report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40-Reports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40-reports, operating-report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2026-02-28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clause-36fdb8, latency-db8b4b, queue-b4b57c, forecast-57c8bd, control-8bde66, margin-e66f72, queue-f72e6b, citation-e6b912, deadline-9122f2, partner-2f2cbe, queue-cbed71, product-d712c4, evidence-2c49f8, security-9f88b7, engineering-8b7ed5, account-ed5d68, customer-d687bb, product-7bbb72, audit-b728cb, finance-8cbb10, customer-b105, policy-5, enablement-fdb8b4, scope-8b4b57, audit-b57c8b, finance-c8bde6, enablement-de66f7, account-6f72e6, reviewer-2e6b91, support-b9122f, source-22f2cb, source-2cbed7, exception-ed712c, exception-12c49f, launch-49f88b, milestone-88b7ed. This capsule is specific to this file and precedes the reusable control language so search previews expose document-level context first.</w:t>
      </w:r>
    </w:p>
    <w:p>
      <w:pPr>
        <w:pStyle w:val="Title"/>
      </w:pPr>
      <w:r>
        <w:t>Nova Clinic Group FlowDesk Monthly KPI Report 2026-02-28</w:t>
      </w:r>
    </w:p>
    <w:p>
      <w:pPr>
        <w:pStyle w:val="Heading1"/>
      </w:pPr>
      <w:r>
        <w:t>Summary</w:t>
      </w:r>
    </w:p>
    <w:p>
      <w:r>
        <w:t>The author rewrote the front matter after finding duplicated summary language, prioritizing concrete names, dates, clauses, and measurable workflow outcomes. Evidence marker NF-4055; customer=Nova Clinic Group; industry=clinical operations; product=FlowDesk; companion_product=InsightBridge; office_scope=Seoul HQ, Singapore customer success office, and Austin partnership desk.</w:t>
      </w:r>
    </w:p>
    <w:p>
      <w:r>
        <w:t>Monthly KPI changes: FlowDesk pipeline quality improved 7% while InsightBridge reduced unresolved workflow delays by 6%.</w:t>
      </w:r>
    </w:p>
    <w:p>
      <w:pPr>
        <w:pStyle w:val="Heading1"/>
      </w:pPr>
      <w:r>
        <w:t>Department Breakdown</w:t>
      </w:r>
    </w:p>
    <w:p>
      <w:r>
        <w:t>Sales: USD 2.0M qualified expansion. CS: 92% onboarding milestone completion. Product: 68% weekly active admin usage. Engineering: p95 sync latency under 1150 ms.</w:t>
      </w:r>
    </w:p>
    <w:p>
      <w:pPr>
        <w:pStyle w:val="Heading1"/>
      </w:pPr>
      <w:r>
        <w:t>Management Actions</w:t>
      </w:r>
    </w:p>
    <w:p>
      <w:r>
        <w:t>Revenue Operations compares forecast quality against source evidence; Product and Engineering separate launch copy from verified architecture commitments.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