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2026-02-28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reviewer-6a9dfb, citation-dfb16b, citation-16bd06, forecast-d0684b, deadline-84b576, forecast-57689f, latency-89fe2e, margin-e2e3dc, deadline-3dc438, customer-43866c, workflow-66c318, queue-318cb6, evidence-cb6359, queue-3594a2, legal-4a29a6, evidence-9a6dc5, product-dc5d34, product-d34f45, finance-f45c58, enablement-c58f42, policy-f426, policy-6, security-9dfb16, adoption-b16bd0, engineering-bd0684, variance-684b57, variance-b57689, support-689fe2, support-fe2e3d, adoption-e3dc43, milestone-c43866, adoption-866c31, latency-c318cb, milestone-8cb635, policy-63594a, reviewer-94a29a. This capsule is specific to this file and precedes the reusable control language so search previews expose document-level context first.</w:t>
      </w:r>
    </w:p>
    <w:p>
      <w:pPr>
        <w:pStyle w:val="Title"/>
      </w:pPr>
      <w:r>
        <w:t>Contour Retail FlowDesk Monthly KPI Report 2026-02-28</w:t>
      </w:r>
    </w:p>
    <w:p>
      <w:pPr>
        <w:pStyle w:val="Heading1"/>
      </w:pPr>
      <w:r>
        <w:t>Summary</w:t>
      </w:r>
    </w:p>
    <w:p>
      <w:r>
        <w:t>The review trail shows an implementation team moving from generic enablement notes to customer-specific milestones, evidence owners, and approval gates. Evidence marker NF-7358; customer=Contour Retail; industry=specialty retail; product=FlowDesk; companion_product=InsightBridge; office_scope=Seoul HQ, Singapore customer success office, and Austin partnership desk.</w:t>
      </w:r>
    </w:p>
    <w:p>
      <w:r>
        <w:t>Monthly KPI changes: FlowDesk pipeline quality improved 7% while InsightBridge reduced unresolved workflow delays by 3%.</w:t>
      </w:r>
    </w:p>
    <w:p>
      <w:pPr>
        <w:pStyle w:val="Heading1"/>
      </w:pPr>
      <w:r>
        <w:t>Department Breakdown</w:t>
      </w:r>
    </w:p>
    <w:p>
      <w:r>
        <w:t>Sales: USD 1.8M qualified expansion. CS: 83% onboarding milestone completion. Product: 77% weekly active admin usage. Engineering: p95 sync latency under 1165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