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adoption-0b08e4, readiness-8e4865, renewal-865642, citation-642e63, owner-e63a34, exception-a34c98, partner-c984c2, margin-4c285a, margin-85ad1a, control-d1ada8, partner-da8e8b, margin-e8b3f7, finance-3f7d91, deadline-d91a3c, queue-a3c232, legal-23244f, deadline-44fef6, regional-ef6e1b, executive-e1bb06, enablement-b063ae, enablement-3ae2, legal-2, scope-08e486, legal-486564, template-5642e6, executive-2e63a3, milestone-3a34c9, clause-4c984c, account-84c285, renewal-285ad1, reviewer-ad1ada, launch-ada8e8, clause-8e8b3f, workflow-b3f7d9, source-7d91a3, exception-1a3c23. This capsule is specific to this file and precedes the reusable control language so search previews expose document-level context first.</w:t>
      </w:r>
    </w:p>
    <w:p>
      <w:pPr>
        <w:pStyle w:val="Title"/>
      </w:pPr>
      <w:r>
        <w:t>Gaia Power DocuLens AI Monthly KPI Report 2026-02-28</w:t>
      </w:r>
    </w:p>
    <w:p>
      <w:pPr>
        <w:pStyle w:val="Heading1"/>
      </w:pPr>
      <w:r>
        <w:t>Summary</w:t>
      </w:r>
    </w:p>
    <w:p>
      <w:r>
        <w:t>The document is anchored in Seoul HQ operating cadence but includes Singapore and Austin dependencies where regional teams own customer-facing follow-through. Evidence marker NF-5832; customer=Gaia Power; industry=energy operations; product=DocuLens AI; companion_product=LaunchOps; office_scope=Seoul HQ, Singapore customer success office, and Austin partnership desk.</w:t>
      </w:r>
    </w:p>
    <w:p>
      <w:r>
        <w:t>Monthly KPI changes: DocuLens AI pipeline quality improved 4% while LaunchOps reduced unresolved workflow delays by 6%.</w:t>
      </w:r>
    </w:p>
    <w:p>
      <w:pPr>
        <w:pStyle w:val="Heading1"/>
      </w:pPr>
      <w:r>
        <w:t>Department Breakdown</w:t>
      </w:r>
    </w:p>
    <w:p>
      <w:r>
        <w:t>Sales: USD 1.9M qualified expansion. CS: 92% onboarding milestone completion. Product: 74% weekly active admin usage. Engineering: p95 sync latency under 1006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