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Field</w:t>
            </w:r>
          </w:p>
        </w:tc>
        <w:tc>
          <w:tcPr>
            <w:tcW w:type="dxa" w:w="4320"/>
          </w:tcPr>
          <w:p>
            <w:r>
              <w:t>Value</w:t>
            </w:r>
          </w:p>
        </w:tc>
      </w:tr>
      <w:tr>
        <w:tc>
          <w:tcPr>
            <w:tcW w:type="dxa" w:w="4320"/>
          </w:tcPr>
          <w:p>
            <w:r>
              <w:t>Document Type</w:t>
            </w:r>
          </w:p>
        </w:tc>
        <w:tc>
          <w:tcPr>
            <w:tcW w:type="dxa" w:w="4320"/>
          </w:tcPr>
          <w:p>
            <w:r>
              <w:t>Operating Report</w:t>
            </w:r>
          </w:p>
        </w:tc>
      </w:tr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40-Reports</w:t>
            </w:r>
          </w:p>
        </w:tc>
      </w:tr>
      <w:tr>
        <w:tc>
          <w:tcPr>
            <w:tcW w:type="dxa" w:w="4320"/>
          </w:tcPr>
          <w:p>
            <w:r>
              <w:t>Tags</w:t>
            </w:r>
          </w:p>
        </w:tc>
        <w:tc>
          <w:tcPr>
            <w:tcW w:type="dxa" w:w="4320"/>
          </w:tcPr>
          <w:p>
            <w:r>
              <w:t>nuriflow, 40-reports, operating-report</w:t>
            </w:r>
          </w:p>
        </w:tc>
      </w:tr>
      <w:tr>
        <w:tc>
          <w:tcPr>
            <w:tcW w:type="dxa" w:w="4320"/>
          </w:tcPr>
          <w:p>
            <w:r>
              <w:t>Created Date</w:t>
            </w:r>
          </w:p>
        </w:tc>
        <w:tc>
          <w:tcPr>
            <w:tcW w:type="dxa" w:w="4320"/>
          </w:tcPr>
          <w:p>
            <w:r>
              <w:t>2026-02-28</w:t>
            </w:r>
          </w:p>
        </w:tc>
      </w:tr>
      <w:tr>
        <w:tc>
          <w:tcPr>
            <w:tcW w:type="dxa" w:w="4320"/>
          </w:tcPr>
          <w:p>
            <w:r>
              <w:t>Author / Owner</w:t>
            </w:r>
          </w:p>
        </w:tc>
        <w:tc>
          <w:tcPr>
            <w:tcW w:type="dxa" w:w="4320"/>
          </w:tcPr>
          <w:p>
            <w:r>
              <w:t>Revenue Operations</w:t>
            </w:r>
          </w:p>
        </w:tc>
      </w:tr>
      <w:tr>
        <w:tc>
          <w:tcPr>
            <w:tcW w:type="dxa" w:w="4320"/>
          </w:tcPr>
          <w:p>
            <w:r>
              <w:t>Status</w:t>
            </w:r>
          </w:p>
        </w:tc>
        <w:tc>
          <w:tcPr>
            <w:tcW w:type="dxa" w:w="4320"/>
          </w:tcPr>
          <w:p>
            <w:r>
              <w:t>approved</w:t>
            </w:r>
          </w:p>
        </w:tc>
      </w:tr>
    </w:tbl>
    <w:p>
      <w:r>
        <w:t>Evidence capsule for anti-boilerplate review: renewal-24c430, source-430111, partner-111185, latency-18541f, latency-41f9a6, source-9a6130, latency-130ed2, budget-ed29ce, exception-9ce5a0, workflow-5a06c3, owner-6c37e6, forecast-7e69ea, forecast-9eaba8, partner-ba825f, account-25f199, security-1996d4, finance-6d4ecb, product-ecb124, deadline-12447d, customer-47d994, evidence-9943, policy-3, policy-c43011, legal-011118, audit-118541, adoption-541f9a, clause-f9a613, template-6130ed, variance-0ed29c, account-29ce5a, milestone-e5a06c, reviewer-06c37e, policy-37e69e, clause-69eaba, citation-aba825, launch-825f19. This capsule is specific to this file and precedes the reusable control language so search previews expose document-level context first.</w:t>
      </w:r>
    </w:p>
    <w:p>
      <w:pPr>
        <w:pStyle w:val="Title"/>
      </w:pPr>
      <w:r>
        <w:t>Cobalt Systems DocuLens AI Monthly KPI Report 2026-02-28</w:t>
      </w:r>
    </w:p>
    <w:p>
      <w:pPr>
        <w:pStyle w:val="Heading1"/>
      </w:pPr>
      <w:r>
        <w:t>Summary</w:t>
      </w:r>
    </w:p>
    <w:p>
      <w:r>
        <w:t>The opening page is intentionally practical: it identifies the audience, the decision pressure, the product dependency, and the next action required. Evidence marker NF-2418; customer=Cobalt Systems; industry=software infrastructure; product=DocuLens AI; companion_product=LaunchOps; office_scope=Seoul HQ, Singapore customer success office, and Austin partnership desk.</w:t>
      </w:r>
    </w:p>
    <w:p>
      <w:r>
        <w:t>Monthly KPI changes: DocuLens AI pipeline quality improved 10% while LaunchOps reduced unresolved workflow delays by 6%.</w:t>
      </w:r>
    </w:p>
    <w:p>
      <w:pPr>
        <w:pStyle w:val="Heading1"/>
      </w:pPr>
      <w:r>
        <w:t>Department Breakdown</w:t>
      </w:r>
    </w:p>
    <w:p>
      <w:r>
        <w:t>Sales: USD 1.6M qualified expansion. CS: 92% onboarding milestone completion. Product: 80% weekly active admin usage. Engineering: p95 sync latency under 946 ms.</w:t>
      </w:r>
    </w:p>
    <w:p>
      <w:pPr>
        <w:pStyle w:val="Heading1"/>
      </w:pPr>
      <w:r>
        <w:t>Management Actions</w:t>
      </w:r>
    </w:p>
    <w:p>
      <w:r>
        <w:t>Revenue Operations compares forecast quality against source evidence; Product and Engineering separate launch copy from verified architecture commitments.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