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Operating Report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40-Reports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40-reports, operating-report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2026-02-28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readiness-cff6e0, forecast-6e042e, queue-42e0c4, exception-0c4f40, owner-f40730, source-730790, workflow-790b1a, exception-b1acd1, customer-cd1cd9, exception-cd9777, customer-7775a1, control-5a1e33, engineering-e33955, queue-9551eb, partner-1eb628, customer-62895c, deadline-95cf81, queue-f81f23, legal-f23ef3, enablement-ef3727, evidence-7279, template-9, product-f6e042, audit-042e0c, milestone-e0c4f4, variance-4f4073, engineering-073079, renewal-0790b1, launch-0b1acd, variance-acd1cd, adoption-1cd977, variance-97775a, renewal-75a1e3, variance-1e3395, latency-39551e, milestone-51eb62. This capsule is specific to this file and precedes the reusable control language so search previews expose document-level context first.</w:t>
      </w:r>
    </w:p>
    <w:p>
      <w:pPr>
        <w:pStyle w:val="Title"/>
      </w:pPr>
      <w:r>
        <w:t>Mokpo Freight Marketplace Preview Monthly KPI Report 2026-02-28</w:t>
      </w:r>
    </w:p>
    <w:p>
      <w:pPr>
        <w:pStyle w:val="Heading1"/>
      </w:pPr>
      <w:r>
        <w:t>Summary</w:t>
      </w:r>
    </w:p>
    <w:p>
      <w:r>
        <w:t>The customer asked for fewer meetings and stronger proof; this file turns that request into a documented workflow with accountable follow-up. Evidence marker NF-6426; customer=Mokpo Freight; industry=logistics; product=Marketplace Preview; companion_product=DocuLens AI; office_scope=Seoul HQ, Singapore customer success office, and Austin partnership desk.</w:t>
      </w:r>
    </w:p>
    <w:p>
      <w:r>
        <w:t>Monthly KPI changes: Marketplace Preview pipeline quality improved 5% while DocuLens AI reduced unresolved workflow delays by 4%.</w:t>
      </w:r>
    </w:p>
    <w:p>
      <w:pPr>
        <w:pStyle w:val="Heading1"/>
      </w:pPr>
      <w:r>
        <w:t>Department Breakdown</w:t>
      </w:r>
    </w:p>
    <w:p>
      <w:r>
        <w:t>Sales: USD 1.5M qualified expansion. CS: 84% onboarding milestone completion. Product: 66% weekly active admin usage. Engineering: p95 sync latency under 914 ms.</w:t>
      </w:r>
    </w:p>
    <w:p>
      <w:pPr>
        <w:pStyle w:val="Heading1"/>
      </w:pPr>
      <w:r>
        <w:t>Management Actions</w:t>
      </w:r>
    </w:p>
    <w:p>
      <w:r>
        <w:t>Revenue Operations compares forecast quality against source evidence; Product and Engineering separate launch copy from verified architecture commitments.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