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budget-8bfaf1, readiness-af119a, queue-19a5f5, margin-5f5ea5, deadline-ea5588, reviewer-588416, latency-416a3f, forecast-a3f155, owner-155db3, partner-db390c, legal-90cfc4, forecast-fc4cd7, finance-cd7978, product-978e9d, deadline-e9df03, evidence-f038a3, security-8a3e77, legal-e771c7, customer-1c7d2d, evidence-d2d436, finance-4363, support-3, legal-faf119, variance-119a5f, legal-a5f5ea, executive-5ea558, support-558841, clause-8416a3, renewal-6a3f15, template-f155db, renewal-5db390, support-390cfc, latency-cfc4cd, citation-4cd797, exception-7978e9, renewal-8e9df0. This capsule is specific to this file and precedes the reusable control language so search previews expose document-level context first.</w:t>
      </w:r>
    </w:p>
    <w:p>
      <w:pPr>
        <w:pStyle w:val="Title"/>
      </w:pPr>
      <w:r>
        <w:t>Summit BioLabs FlowDesk Monthly KPI Report 2026-02-28</w:t>
      </w:r>
    </w:p>
    <w:p>
      <w:pPr>
        <w:pStyle w:val="Heading1"/>
      </w:pPr>
      <w:r>
        <w:t>Summary</w:t>
      </w:r>
    </w:p>
    <w:p>
      <w:r>
        <w:t>The sample supports search validation by repeating core company facts only after presenting a unique customer scenario and category-specific control language. Evidence marker NF-2371; customer=Summit BioLabs; industry=biotech; product=FlowDesk; companion_product=InsightBridge; office_scope=Seoul HQ, Singapore customer success office, and Austin partnership desk.</w:t>
      </w:r>
    </w:p>
    <w:p>
      <w:r>
        <w:t>Monthly KPI changes: FlowDesk pipeline quality improved 10% while InsightBridge reduced unresolved workflow delays by 3%.</w:t>
      </w:r>
    </w:p>
    <w:p>
      <w:pPr>
        <w:pStyle w:val="Heading1"/>
      </w:pPr>
      <w:r>
        <w:t>Department Breakdown</w:t>
      </w:r>
    </w:p>
    <w:p>
      <w:r>
        <w:t>Sales: USD 1.8M qualified expansion. CS: 89% onboarding milestone completion. Product: 71% weekly active admin usage. Engineering: p95 sync latency under 1135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