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launch-4e3b59, control-b59eaf, source-eafbfd, partner-bfd868, exception-868f41, partner-f41308, evidence-308566, queue-566650, product-6508a4, evidence-8a4398, legal-3980b2, security-0b28ae, evidence-8ae648, deadline-648924, customer-924480, executive-4801d5, evidence-1d5b25, owner-b255ba, regional-5ba059, deadline-05925b, enablement-25b2, finance-2, enablement-3b59ea, account-9eafbf, executive-fbfd86, executive-d868f4, finance-8f4130, policy-130856, variance-856665, audit-66508a, audit-08a439, clause-43980b, clause-80b28a, audit-28ae64, budget-e64892, adoption-892448. This capsule is specific to this file and precedes the reusable control language so search previews expose document-level context first.</w:t>
      </w:r>
    </w:p>
    <w:p>
      <w:pPr>
        <w:pStyle w:val="Title"/>
      </w:pPr>
      <w:r>
        <w:t>Radius Legal Marketplace Preview Monthly KPI Report 2026-02-28</w:t>
      </w:r>
    </w:p>
    <w:p>
      <w:pPr>
        <w:pStyle w:val="Heading1"/>
      </w:pPr>
      <w:r>
        <w:t>Summary</w:t>
      </w:r>
    </w:p>
    <w:p>
      <w:r>
        <w:t>The file was written for an internal audit walkthrough, so it emphasizes version history, policy ownership, and source-of-truth discipline from the first paragraph. Evidence marker NF-5706; customer=Radius Legal; industry=legal services; product=Marketplace Preview; companion_product=DocuLens AI; office_scope=Seoul HQ, Singapore customer success office, and Austin partnership desk.</w:t>
      </w:r>
    </w:p>
    <w:p>
      <w:r>
        <w:t>Monthly KPI changes: Marketplace Preview pipeline quality improved 3% while DocuLens AI reduced unresolved workflow delays by 5%.</w:t>
      </w:r>
    </w:p>
    <w:p>
      <w:pPr>
        <w:pStyle w:val="Heading1"/>
      </w:pPr>
      <w:r>
        <w:t>Department Breakdown</w:t>
      </w:r>
    </w:p>
    <w:p>
      <w:r>
        <w:t>Sales: USD 2.0M qualified expansion. CS: 85% onboarding milestone completion. Product: 73% weekly active admin usage. Engineering: p95 sync latency under 1059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