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InsightBridge Case Study Aster Public Services</w:t>
      </w:r>
    </w:p>
    <w:p>
      <w:pPr>
        <w:pStyle w:val="Heading1"/>
      </w:pPr>
      <w:r>
        <w:t>Customer Context</w:t>
      </w:r>
    </w:p>
    <w:p>
      <w:r>
        <w:t>Aster Public Services is a public sector customer using InsightBridge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24% and improved source-citation confidence before renewal review.</w:t>
      </w:r>
    </w:p>
    <w:p>
      <w:pPr>
        <w:pStyle w:val="Heading1"/>
      </w:pPr>
      <w:r>
        <w:t>Quote</w:t>
      </w:r>
    </w:p>
    <w:p>
      <w:r>
        <w:t>InsightBridge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