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Marketing Calendar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60-Marketing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60-marketing, marketing-calendar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Product Marketing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Social Media Calendar 2026</w:t>
      </w:r>
    </w:p>
    <w:p>
      <w:pPr>
        <w:pStyle w:val="Heading1"/>
      </w:pPr>
      <w:r>
        <w:t>Campaign Focus</w:t>
      </w:r>
    </w:p>
    <w:p>
      <w:r>
        <w:t>Campaigns position FlowDesk, DocuLens AI, InsightBridge, LaunchOps, and Marketplace Preview around the mission that teams should spend less time chasing documents and more time making decisions.</w:t>
      </w:r>
    </w:p>
    <w:p>
      <w:pPr>
        <w:pStyle w:val="Heading1"/>
      </w:pPr>
      <w:r>
        <w:t>Audience</w:t>
      </w:r>
    </w:p>
    <w:p>
      <w:r>
        <w:t>Primary audiences are operations leaders, revenue teams, security reviewers, partner teams, and customer success executives in Korea, Singapore, and the United States.</w:t>
      </w:r>
    </w:p>
    <w:p>
      <w:pPr>
        <w:pStyle w:val="Heading1"/>
      </w:pPr>
      <w:r>
        <w:t>Measurement</w:t>
      </w:r>
    </w:p>
    <w:p>
      <w:r>
        <w:t>Marketing measures sourced pipeline, product-qualified account movement, launch event attendance, case-study engagement, and sales-cycle acceleration.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