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budget-8a1ecf, citation-ecfa7d, clause-a7d477, queue-477d22, forecast-d22422, evidence-42244b, forecast-44bf3a, partner-f3ae08, regional-e0871c, margin-71c71e, queue-71ea1a, owner-a1afb5, legal-fb5a79, control-a79f71, forecast-f71046, deadline-04690e, owner-90ef1d, deadline-f1d717, customer-717c1c, product-c1c8d5, support-8d56, milestone-6, legal-1ecfa7, audit-fa7d47, variance-d477d2, legal-7d2242, scope-242244, scope-244bf3, account-bf3ae0, launch-ae0871, adoption-871c71, template-c71ea1, exception-ea1afb, reviewer-afb5a7, policy-5a79f7, budget-9f7104. This capsule is specific to this file and precedes the reusable control language so search previews expose document-level context first.</w:t>
      </w:r>
    </w:p>
    <w:p>
      <w:pPr>
        <w:pStyle w:val="Title"/>
      </w:pPr>
      <w:r>
        <w:t>New Hires LaunchOps HR Operating Guide 2025-09-30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NF-6003; customer=BlueHarbor Logistics; industry=regional logistics; product=LaunchOps; companion_product=FlowDesk; office_scope=Seoul HQ, Singapore customer success office, and Austin partnership desk.</w:t>
      </w:r>
    </w:p>
    <w:p>
      <w:r>
        <w:t>target audience: new hires.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