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latency-72babc, clause-abc0d2, margin-0d2531, margin-531719, control-71911b, queue-11b17b, reviewer-17b18c, evidence-18c54e, workflow-54e383, partner-383cb0, margin-cb021c, readiness-21c388, deadline-3887f5, partner-7f5da7, product-da721f, forecast-21fa90, queue-a90203, enablement-2033e1, deadline-3e1810, finance-810550, support-550d, customer-d, executive-babc0d, policy-c0d253, account-253171, account-171911, clause-911b17, executive-b17b18, milestone-b18c54, template-c54e38, source-e383cb, source-3cb021, template-021c38, policy-c3887f, policy-87f5da, workflow-5da721. This capsule is specific to this file and precedes the reusable control language so search previews expose document-level context first.</w:t>
      </w:r>
    </w:p>
    <w:p>
      <w:pPr>
        <w:pStyle w:val="Title"/>
      </w:pPr>
      <w:r>
        <w:t>All Employees Marketplace Preview HR Operating Guide 2025-09-30</w:t>
      </w:r>
    </w:p>
    <w:p>
      <w:pPr>
        <w:pStyle w:val="Heading1"/>
      </w:pPr>
      <w:r>
        <w:t>Summary</w:t>
      </w:r>
    </w:p>
    <w:p>
      <w:r>
        <w:t>The document records a late-stage executive question about measurable adoption, so the first page emphasizes proof, owner names, and decision timing. Evidence marker NF-4006; customer=Mirae Health Network; industry=healthcare operations; product=Marketplace Preview; companion_product=DocuLens AI; office_scope=Seoul HQ, Singapore customer success office, and Austin partnership desk.</w:t>
      </w:r>
    </w:p>
    <w:p>
      <w:r>
        <w:t>target audience: all employees.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