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citation-bc4a5c, margin-a5c4ed, reviewer-4edbfa, margin-bfa849, exception-8497d2, queue-7d2095, workflow-095515, regional-5153c3, regional-3c3650, evidence-650801, legal-8013f5, regional-3f53d6, evidence-3d6419, queue-4195e7, product-5e7b67, customer-b670d1, account-0d11a5, deadline-1a53c5, owner-3c5617, enablement-6172a2, legal-2a2a, finance-a, product-4a5c4e, enablement-c4edbf, engineering-dbfa84, adoption-a8497d, account-97d209, audit-209551, audit-55153c, account-53c365, variance-365080, support-08013f, audit-13f53d, milestone-53d641, readiness-64195e, clause-95e7b6. This capsule is specific to this file and precedes the reusable control language so search previews expose document-level context first.</w:t>
      </w:r>
    </w:p>
    <w:p>
      <w:pPr>
        <w:pStyle w:val="Title"/>
      </w:pPr>
      <w:r>
        <w:t>Customer-Facing Teams InsightBridge HR Operating Guide 2025-09-30</w:t>
      </w:r>
    </w:p>
    <w:p>
      <w:pPr>
        <w:pStyle w:val="Heading1"/>
      </w:pPr>
      <w:r>
        <w:t>Summary</w:t>
      </w:r>
    </w:p>
    <w:p>
      <w:r>
        <w:t>The source packet came from a renewal-risk conversation where scattered Slack notes, uploaded contracts, and spreadsheet exceptions were consolidated into one accountable narrative. Evidence marker NF-1407; customer=Northstar Finance; industry=financial services; product=InsightBridge; companion_product=Marketplace Preview; office_scope=Seoul HQ, Singapore customer success office, and Austin partnership desk.</w:t>
      </w:r>
    </w:p>
    <w:p>
      <w:r>
        <w:t>target audience: customer-facing teams.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