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HR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70-HR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70-hr, hr-document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People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variance-1d4cad, partner-cadea9, reviewer-ea9bdb, control-bdb61d, partner-61d2a0, owner-2a0c5a, evidence-c5a482, queue-4824cd, queue-4cd5ea, evidence-5eaaf6, product-af65cc, customer-5ccbac, owner-bac2fc, partner-2fc363, engineering-3638fd, queue-8fd9dc, finance-9dc95c, queue-95c881, executive-8817d1, security-7d1020, executive-0207, legal-7, executive-4cadea, legal-dea9bd, enablement-9bdb61, adoption-b61d2a, renewal-d2a0c5, template-0c5a48, source-a4824c, renewal-24cd5e, clause-d5eaaf, exception-aaf65c, variance-65ccba, variance-cbac2f, exception-c2fc36, workflow-c3638f. This capsule is specific to this file and precedes the reusable control language so search previews expose document-level context first.</w:t>
      </w:r>
    </w:p>
    <w:p>
      <w:pPr>
        <w:pStyle w:val="Title"/>
      </w:pPr>
      <w:r>
        <w:t>Customer-Facing Teams FlowDesk HR Operating Guide 2025-09-30</w:t>
      </w:r>
    </w:p>
    <w:p>
      <w:pPr>
        <w:pStyle w:val="Heading1"/>
      </w:pPr>
      <w:r>
        <w:t>Summary</w:t>
      </w:r>
    </w:p>
    <w:p>
      <w:r>
        <w:t>The drafting team treated this as a launch-readiness artifact: every commitment below maps to a reviewer, due date, and customer-visible operational effect. Evidence marker NF-8868; customer=K-Supply Retail; industry=omnichannel retail; product=FlowDesk; companion_product=InsightBridge; office_scope=Seoul HQ, Singapore customer success office, and Austin partnership desk.</w:t>
      </w:r>
    </w:p>
    <w:p>
      <w:r>
        <w:t>target audience: customer-facing teams. effective_date: 2025-09-30. policy owner: People Operations. Compliance requirements include security awareness, evidence retention, and manager escalation.</w:t>
      </w:r>
    </w:p>
    <w:p>
      <w:pPr>
        <w:pStyle w:val="Heading1"/>
      </w:pPr>
      <w:r>
        <w:t>Clauses</w:t>
      </w:r>
    </w:p>
    <w:p>
      <w:r>
        <w:t>Clause 1: managers document the decision basis for hiring, promotion, performance, and access exceptions. Clause 2: employee data is limited to approved operational purposes. Clause 3: customer examples require anonymization.</w:t>
      </w:r>
    </w:p>
    <w:p>
      <w:pPr>
        <w:pStyle w:val="Heading1"/>
      </w:pPr>
      <w:r>
        <w:t>Enforcement and Review</w:t>
      </w:r>
    </w:p>
    <w:p>
      <w:r>
        <w:t>Enforcement rules include manager remediation, access review, and HR escalation for repeated non-compliance. Review schedule: quarterly with Security and Legal, annual refresh before May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