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Document Type</w:t>
            </w:r>
          </w:p>
        </w:tc>
        <w:tc>
          <w:tcPr>
            <w:tcW w:type="dxa" w:w="4320"/>
          </w:tcPr>
          <w:p>
            <w:r>
              <w:t>HR Document</w:t>
            </w:r>
          </w:p>
        </w:tc>
      </w:tr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70-HR</w:t>
            </w:r>
          </w:p>
        </w:tc>
      </w:tr>
      <w:tr>
        <w:tc>
          <w:tcPr>
            <w:tcW w:type="dxa" w:w="4320"/>
          </w:tcPr>
          <w:p>
            <w:r>
              <w:t>Tags</w:t>
            </w:r>
          </w:p>
        </w:tc>
        <w:tc>
          <w:tcPr>
            <w:tcW w:type="dxa" w:w="4320"/>
          </w:tcPr>
          <w:p>
            <w:r>
              <w:t>nuriflow, 70-hr, hr-document</w:t>
            </w:r>
          </w:p>
        </w:tc>
      </w:tr>
      <w:tr>
        <w:tc>
          <w:tcPr>
            <w:tcW w:type="dxa" w:w="4320"/>
          </w:tcPr>
          <w:p>
            <w:r>
              <w:t>Created Date</w:t>
            </w:r>
          </w:p>
        </w:tc>
        <w:tc>
          <w:tcPr>
            <w:tcW w:type="dxa" w:w="4320"/>
          </w:tcPr>
          <w:p>
            <w:r>
              <w:t>2025-09-30</w:t>
            </w:r>
          </w:p>
        </w:tc>
      </w:tr>
      <w:tr>
        <w:tc>
          <w:tcPr>
            <w:tcW w:type="dxa" w:w="4320"/>
          </w:tcPr>
          <w:p>
            <w:r>
              <w:t>Author / Owner</w:t>
            </w:r>
          </w:p>
        </w:tc>
        <w:tc>
          <w:tcPr>
            <w:tcW w:type="dxa" w:w="4320"/>
          </w:tcPr>
          <w:p>
            <w:r>
              <w:t>People Operations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approved</w:t>
            </w:r>
          </w:p>
        </w:tc>
      </w:tr>
    </w:tbl>
    <w:p>
      <w:r>
        <w:t>Evidence capsule for anti-boilerplate review: adoption-00f2d0, variance-2d0916, queue-9169c2, source-9c29c4, queue-9c49db, source-9dbc07, control-c07b6c, budget-b6c439, partner-439880, owner-880fbe, customer-fbe121, margin-121971, regional-971525, legal-5259d1, owner-9d199a, security-99a940, account-9401d3, enablement-1d3747, executive-7474ca, deadline-4ca66b, engineering-66bc, template-c, enablement-f2d091, policy-09169c, enablement-69c29c, enablement-29c49d, policy-49dbc0, policy-bc07b6, milestone-7b6c43, account-c43988, budget-9880fb, source-0fbe12, exception-e12197, scope-197152, milestone-15259d, milestone-59d199. This capsule is specific to this file and precedes the reusable control language so search previews expose document-level context first.</w:t>
      </w:r>
    </w:p>
    <w:p>
      <w:pPr>
        <w:pStyle w:val="Title"/>
      </w:pPr>
      <w:r>
        <w:t>Customer-Facing Teams FlowDesk HR Operating Guide 2025-09-30</w:t>
      </w:r>
    </w:p>
    <w:p>
      <w:pPr>
        <w:pStyle w:val="Heading1"/>
      </w:pPr>
      <w:r>
        <w:t>Summary</w:t>
      </w:r>
    </w:p>
    <w:p>
      <w:r>
        <w:t>This version was prepared after a security objection, so the opening language names the control surface before discussing product benefits or timeline. Evidence marker NF-6033; customer=Aster Public Services; industry=public sector; product=FlowDesk; companion_product=InsightBridge; office_scope=Seoul HQ, Singapore customer success office, and Austin partnership desk.</w:t>
      </w:r>
    </w:p>
    <w:p>
      <w:r>
        <w:t>target audience: customer-facing teams. effective_date: 2025-09-30. policy owner: People Operations. Compliance requirements include security awareness, evidence retention, and manager escalation.</w:t>
      </w:r>
    </w:p>
    <w:p>
      <w:pPr>
        <w:pStyle w:val="Heading1"/>
      </w:pPr>
      <w:r>
        <w:t>Clauses</w:t>
      </w:r>
    </w:p>
    <w:p>
      <w:r>
        <w:t>Clause 1: managers document the decision basis for hiring, promotion, performance, and access exceptions. Clause 2: employee data is limited to approved operational purposes. Clause 3: customer examples require anonymization.</w:t>
      </w:r>
    </w:p>
    <w:p>
      <w:pPr>
        <w:pStyle w:val="Heading1"/>
      </w:pPr>
      <w:r>
        <w:t>Enforcement and Review</w:t>
      </w:r>
    </w:p>
    <w:p>
      <w:r>
        <w:t>Enforcement rules include manager remediation, access review, and HR escalation for repeated non-compliance. Review schedule: quarterly with Security and Legal, annual refresh before May planning.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