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citation-b8e1c1, exception-1c11c3, forecast-1c3e4c, launch-e4c705, forecast-705e7c, reviewer-e7caf8, latency-af8aa4, deadline-aa49e5, citation-9e581f, product-81fe44, partner-e4456e, product-56e1c6, deadline-1c689a, margin-89abc4, deadline-bc4d2a, account-d2a2d5, product-2d53a9, account-3a9a46, enablement-a46afc, scope-afcd5c, enablement-d5c5, support-5, template-e1c11c, engineering-11c3e4, audit-3e4c70, renewal-c705e7, support-5e7caf, policy-caf8aa, account-8aa49e, latency-49e581, latency-581fe4, policy-fe4456, milestone-456e1c, variance-e1c689, clause-689abc, readiness-abc4d2. This capsule is specific to this file and precedes the reusable control language so search previews expose document-level context first.</w:t>
      </w:r>
    </w:p>
    <w:p>
      <w:pPr>
        <w:pStyle w:val="Title"/>
      </w:pPr>
      <w:r>
        <w:t>People Managers FlowDesk HR Operating Guide 2025-09-30</w:t>
      </w:r>
    </w:p>
    <w:p>
      <w:pPr>
        <w:pStyle w:val="Heading1"/>
      </w:pPr>
      <w:r>
        <w:t>Summary</w:t>
      </w:r>
    </w:p>
    <w:p>
      <w:r>
        <w:t>The sample is written from the customer success desk: stalled approvals, unclear owners, and missing source citations are the practical problems being solved. Evidence marker NF-4377; customer=Lumen Education Group; industry=education; product=FlowDesk; companion_product=InsightBridge; office_scope=Seoul HQ, Singapore customer success office, and Austin partnership desk.</w:t>
      </w:r>
    </w:p>
    <w:p>
      <w:r>
        <w:t>target audience: people managers.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