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margin-db71b8, readiness-1b841c, exception-41c6e9, launch-6e911b, control-11b9a7, margin-9a7bf6, workflow-bf669f, budget-69fd87, evidence-d87f37, control-f3730a, security-30abf0, evidence-bf0c2d, margin-c2d428, partner-42879e, legal-79e895, security-895af7, finance-af7e49, security-e49db3, account-db387b, scope-87bbb7, finance-bb73, engineering-3, support-71b841, variance-841c6e, adoption-c6e911, audit-911b9a, audit-b9a7bf, source-7bf669, support-669fd8, milestone-fd87f3, audit-7f3730, support-730abf, source-abf0c2, latency-0c2d42, readiness-d42879, policy-879e89. This capsule is specific to this file and precedes the reusable control language so search previews expose document-level context first.</w:t>
      </w:r>
    </w:p>
    <w:p>
      <w:pPr>
        <w:pStyle w:val="Title"/>
      </w:pPr>
      <w:r>
        <w:t>People Managers DocuLens AI HR Operating Guide 2025-09-30</w:t>
      </w:r>
    </w:p>
    <w:p>
      <w:pPr>
        <w:pStyle w:val="Heading1"/>
      </w:pPr>
      <w:r>
        <w:t>Summary</w:t>
      </w:r>
    </w:p>
    <w:p>
      <w:r>
        <w:t>The document captures a board-prep perspective where finance, product, and customer evidence need to tell the same story without overstating automation. Evidence marker NF-1237; customer=Vela Energy; industry=renewable energy; product=DocuLens AI; companion_product=LaunchOps; office_scope=Seoul HQ, Singapore customer success office, and Austin partnership desk.</w:t>
      </w:r>
    </w:p>
    <w:p>
      <w:r>
        <w:t>target audience: people managers.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